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DBF" w:rsidRPr="007338F0" w:rsidRDefault="00AB1DBF" w:rsidP="00AB1DBF">
      <w:pPr>
        <w:pStyle w:val="Heading2"/>
        <w:pBdr>
          <w:top w:val="single" w:sz="4" w:space="1" w:color="auto"/>
          <w:left w:val="single" w:sz="4" w:space="4" w:color="auto"/>
          <w:bottom w:val="single" w:sz="4" w:space="1" w:color="auto"/>
          <w:right w:val="single" w:sz="4" w:space="4" w:color="auto"/>
        </w:pBdr>
        <w:rPr>
          <w:sz w:val="32"/>
          <w:szCs w:val="32"/>
        </w:rPr>
      </w:pPr>
      <w:bookmarkStart w:id="0" w:name="_Toc484173521"/>
      <w:r w:rsidRPr="006D7613">
        <w:rPr>
          <w:sz w:val="32"/>
          <w:szCs w:val="32"/>
        </w:rPr>
        <w:t>ANNEX C9:</w:t>
      </w:r>
      <w:r w:rsidRPr="007338F0">
        <w:rPr>
          <w:sz w:val="32"/>
          <w:szCs w:val="32"/>
        </w:rPr>
        <w:t xml:space="preserve"> Standard Twinning - Publication of the Call for Proposals on the Internet</w:t>
      </w:r>
      <w:bookmarkEnd w:id="0"/>
    </w:p>
    <w:p w:rsidR="00AB1DBF" w:rsidRPr="00FB7749" w:rsidRDefault="00AB1DBF" w:rsidP="00AB1DBF">
      <w:pPr>
        <w:spacing w:after="0" w:line="240" w:lineRule="auto"/>
        <w:rPr>
          <w:rFonts w:ascii="Times New Roman" w:eastAsia="Times New Roman" w:hAnsi="Times New Roman" w:cs="Times New Roman"/>
          <w:color w:val="000000"/>
          <w:sz w:val="24"/>
          <w:szCs w:val="24"/>
          <w:lang w:eastAsia="zh-CN"/>
        </w:rPr>
      </w:pP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TWINNING CALL FOR PROPOSALS</w:t>
      </w: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roofErr w:type="gramStart"/>
      <w:r w:rsidRPr="00FB7749">
        <w:rPr>
          <w:rFonts w:ascii="Times New Roman" w:eastAsia="Times New Roman" w:hAnsi="Times New Roman" w:cs="Times New Roman"/>
          <w:b/>
          <w:color w:val="000000"/>
          <w:sz w:val="24"/>
          <w:szCs w:val="24"/>
          <w:lang w:eastAsia="en-GB"/>
        </w:rPr>
        <w:t>issued</w:t>
      </w:r>
      <w:proofErr w:type="gramEnd"/>
      <w:r w:rsidRPr="00FB7749">
        <w:rPr>
          <w:rFonts w:ascii="Times New Roman" w:eastAsia="Times New Roman" w:hAnsi="Times New Roman" w:cs="Times New Roman"/>
          <w:b/>
          <w:color w:val="000000"/>
          <w:sz w:val="24"/>
          <w:szCs w:val="24"/>
          <w:lang w:eastAsia="en-GB"/>
        </w:rPr>
        <w:t xml:space="preserve"> by the European Commission</w:t>
      </w: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29E05514" wp14:editId="1E2CB16A">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AB1DBF" w:rsidRPr="007338F0" w:rsidRDefault="00AB1DBF" w:rsidP="00AB1DBF">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7338F0">
        <w:rPr>
          <w:rFonts w:ascii="Times New Roman" w:hAnsi="Times New Roman" w:cs="Times New Roman"/>
          <w:b/>
          <w:sz w:val="24"/>
          <w:szCs w:val="24"/>
          <w:lang w:eastAsia="en-GB"/>
        </w:rPr>
        <w:t>1.</w:t>
      </w:r>
      <w:r w:rsidRPr="007338F0">
        <w:rPr>
          <w:rFonts w:ascii="Times New Roman" w:hAnsi="Times New Roman" w:cs="Times New Roman"/>
          <w:b/>
          <w:sz w:val="24"/>
          <w:szCs w:val="24"/>
          <w:lang w:eastAsia="en-GB"/>
        </w:rPr>
        <w:tab/>
        <w:t>Publication reference</w:t>
      </w:r>
      <w:bookmarkEnd w:id="1"/>
      <w:bookmarkEnd w:id="2"/>
      <w:bookmarkEnd w:id="3"/>
      <w:bookmarkEnd w:id="4"/>
      <w:bookmarkEnd w:id="5"/>
      <w:bookmarkEnd w:id="6"/>
    </w:p>
    <w:p w:rsidR="00AB1DBF" w:rsidRPr="00FB7749" w:rsidRDefault="00B356B2" w:rsidP="00AB1DBF">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sidRPr="00474F42">
        <w:rPr>
          <w:rFonts w:ascii="Times New Roman" w:eastAsia="Times New Roman" w:hAnsi="Times New Roman" w:cs="Times New Roman"/>
          <w:snapToGrid w:val="0"/>
          <w:color w:val="000000"/>
          <w:sz w:val="24"/>
          <w:szCs w:val="24"/>
        </w:rPr>
        <w:t>EuropeAid/</w:t>
      </w:r>
      <w:r w:rsidR="00474F42">
        <w:rPr>
          <w:rFonts w:ascii="Times New Roman" w:eastAsia="Times New Roman" w:hAnsi="Times New Roman" w:cs="Times New Roman"/>
          <w:snapToGrid w:val="0"/>
          <w:color w:val="000000"/>
          <w:sz w:val="24"/>
          <w:szCs w:val="24"/>
        </w:rPr>
        <w:t>161265/DD/ACT/GE</w:t>
      </w:r>
    </w:p>
    <w:p w:rsidR="00AB1DBF" w:rsidRPr="00FB7749" w:rsidRDefault="00AB1DBF" w:rsidP="00AB1DBF">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7338F0">
        <w:rPr>
          <w:rFonts w:ascii="Times New Roman" w:hAnsi="Times New Roman" w:cs="Times New Roman"/>
          <w:b/>
          <w:sz w:val="24"/>
          <w:szCs w:val="24"/>
          <w:lang w:eastAsia="en-GB"/>
        </w:rPr>
        <w:t>2.</w:t>
      </w:r>
      <w:r w:rsidRPr="007338F0">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rsidR="00826F99" w:rsidRPr="00826F99" w:rsidRDefault="00AB1DBF" w:rsidP="00697E13">
      <w:pPr>
        <w:spacing w:after="240" w:line="240" w:lineRule="auto"/>
        <w:ind w:left="1276" w:hanging="1276"/>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Project title:</w:t>
      </w:r>
      <w:r w:rsidRPr="00FB7749">
        <w:rPr>
          <w:rFonts w:ascii="Times New Roman" w:eastAsia="Times New Roman" w:hAnsi="Times New Roman" w:cs="Times New Roman"/>
          <w:bCs/>
          <w:sz w:val="24"/>
          <w:szCs w:val="24"/>
          <w:lang w:eastAsia="en-GB"/>
        </w:rPr>
        <w:t xml:space="preserve"> </w:t>
      </w:r>
      <w:r w:rsidR="00B356B2" w:rsidRPr="00B356B2">
        <w:rPr>
          <w:rFonts w:ascii="Times New Roman" w:hAnsi="Times New Roman" w:cs="Times New Roman"/>
          <w:sz w:val="24"/>
          <w:szCs w:val="24"/>
        </w:rPr>
        <w:t>Strengthening the N</w:t>
      </w:r>
      <w:r w:rsidR="00B61B9E">
        <w:rPr>
          <w:rFonts w:ascii="Times New Roman" w:hAnsi="Times New Roman" w:cs="Times New Roman"/>
          <w:sz w:val="24"/>
          <w:szCs w:val="24"/>
        </w:rPr>
        <w:t xml:space="preserve">ational </w:t>
      </w:r>
      <w:r w:rsidR="00B356B2" w:rsidRPr="00B356B2">
        <w:rPr>
          <w:rFonts w:ascii="Times New Roman" w:hAnsi="Times New Roman" w:cs="Times New Roman"/>
          <w:sz w:val="24"/>
          <w:szCs w:val="24"/>
        </w:rPr>
        <w:t>B</w:t>
      </w:r>
      <w:r w:rsidR="00B61B9E">
        <w:rPr>
          <w:rFonts w:ascii="Times New Roman" w:hAnsi="Times New Roman" w:cs="Times New Roman"/>
          <w:sz w:val="24"/>
          <w:szCs w:val="24"/>
        </w:rPr>
        <w:t xml:space="preserve">ank of </w:t>
      </w:r>
      <w:r w:rsidR="00B356B2" w:rsidRPr="00B356B2">
        <w:rPr>
          <w:rFonts w:ascii="Times New Roman" w:hAnsi="Times New Roman" w:cs="Times New Roman"/>
          <w:sz w:val="24"/>
          <w:szCs w:val="24"/>
        </w:rPr>
        <w:t>G</w:t>
      </w:r>
      <w:r w:rsidR="00B61B9E">
        <w:rPr>
          <w:rFonts w:ascii="Times New Roman" w:hAnsi="Times New Roman" w:cs="Times New Roman"/>
          <w:sz w:val="24"/>
          <w:szCs w:val="24"/>
        </w:rPr>
        <w:t>eorgia</w:t>
      </w:r>
      <w:r w:rsidR="00B356B2" w:rsidRPr="00B356B2">
        <w:rPr>
          <w:rFonts w:ascii="Times New Roman" w:hAnsi="Times New Roman" w:cs="Times New Roman"/>
          <w:sz w:val="24"/>
          <w:szCs w:val="24"/>
        </w:rPr>
        <w:t xml:space="preserve"> capacity in the field of Banking </w:t>
      </w:r>
      <w:r w:rsidR="00474F42">
        <w:rPr>
          <w:rFonts w:ascii="Times New Roman" w:hAnsi="Times New Roman" w:cs="Times New Roman"/>
          <w:sz w:val="24"/>
          <w:szCs w:val="24"/>
        </w:rPr>
        <w:t xml:space="preserve">  </w:t>
      </w:r>
      <w:r w:rsidR="00B356B2" w:rsidRPr="00B356B2">
        <w:rPr>
          <w:rFonts w:ascii="Times New Roman" w:hAnsi="Times New Roman" w:cs="Times New Roman"/>
          <w:sz w:val="24"/>
          <w:szCs w:val="24"/>
        </w:rPr>
        <w:t>and Payment Services in line with the EU Standards</w:t>
      </w:r>
      <w:r w:rsidR="00826F99">
        <w:rPr>
          <w:rFonts w:ascii="Times New Roman" w:eastAsia="Times New Roman" w:hAnsi="Times New Roman" w:cs="Times New Roman"/>
          <w:bCs/>
          <w:sz w:val="24"/>
          <w:szCs w:val="24"/>
          <w:lang w:val="en-US" w:eastAsia="en-GB"/>
        </w:rPr>
        <w:t xml:space="preserve">, </w:t>
      </w:r>
      <w:r w:rsidR="00B356B2" w:rsidRPr="00F40820">
        <w:rPr>
          <w:rFonts w:ascii="Times New Roman" w:eastAsia="Times New Roman" w:hAnsi="Times New Roman" w:cs="Times New Roman"/>
          <w:bCs/>
          <w:color w:val="000000" w:themeColor="text1"/>
          <w:sz w:val="24"/>
          <w:szCs w:val="24"/>
          <w:lang w:eastAsia="en-GB"/>
        </w:rPr>
        <w:t>GE</w:t>
      </w:r>
      <w:r w:rsidR="00B356B2">
        <w:rPr>
          <w:rFonts w:ascii="Times New Roman" w:eastAsia="Times New Roman" w:hAnsi="Times New Roman" w:cs="Times New Roman"/>
          <w:bCs/>
          <w:color w:val="000000" w:themeColor="text1"/>
          <w:sz w:val="24"/>
          <w:szCs w:val="24"/>
          <w:lang w:eastAsia="en-GB"/>
        </w:rPr>
        <w:t xml:space="preserve"> </w:t>
      </w:r>
      <w:r w:rsidR="00B356B2" w:rsidRPr="00F40820">
        <w:rPr>
          <w:rFonts w:ascii="Times New Roman" w:eastAsia="Times New Roman" w:hAnsi="Times New Roman" w:cs="Times New Roman"/>
          <w:bCs/>
          <w:color w:val="000000" w:themeColor="text1"/>
          <w:sz w:val="24"/>
          <w:szCs w:val="24"/>
          <w:lang w:eastAsia="en-GB"/>
        </w:rPr>
        <w:t>16</w:t>
      </w:r>
      <w:r w:rsidR="00B356B2">
        <w:rPr>
          <w:rFonts w:ascii="Times New Roman" w:eastAsia="Times New Roman" w:hAnsi="Times New Roman" w:cs="Times New Roman"/>
          <w:bCs/>
          <w:color w:val="000000" w:themeColor="text1"/>
          <w:sz w:val="24"/>
          <w:szCs w:val="24"/>
          <w:lang w:eastAsia="en-GB"/>
        </w:rPr>
        <w:t xml:space="preserve"> </w:t>
      </w:r>
      <w:r w:rsidR="00B356B2" w:rsidRPr="00F40820">
        <w:rPr>
          <w:rFonts w:ascii="Times New Roman" w:eastAsia="Times New Roman" w:hAnsi="Times New Roman" w:cs="Times New Roman"/>
          <w:bCs/>
          <w:color w:val="000000" w:themeColor="text1"/>
          <w:sz w:val="24"/>
          <w:szCs w:val="24"/>
          <w:lang w:eastAsia="en-GB"/>
        </w:rPr>
        <w:t>ENI</w:t>
      </w:r>
      <w:r w:rsidR="00B356B2">
        <w:rPr>
          <w:rFonts w:ascii="Times New Roman" w:eastAsia="Times New Roman" w:hAnsi="Times New Roman" w:cs="Times New Roman"/>
          <w:bCs/>
          <w:color w:val="000000" w:themeColor="text1"/>
          <w:sz w:val="24"/>
          <w:szCs w:val="24"/>
          <w:lang w:eastAsia="en-GB"/>
        </w:rPr>
        <w:t xml:space="preserve"> </w:t>
      </w:r>
      <w:r w:rsidR="00B356B2" w:rsidRPr="00F40820">
        <w:rPr>
          <w:rFonts w:ascii="Times New Roman" w:eastAsia="Times New Roman" w:hAnsi="Times New Roman" w:cs="Times New Roman"/>
          <w:bCs/>
          <w:color w:val="000000" w:themeColor="text1"/>
          <w:sz w:val="24"/>
          <w:szCs w:val="24"/>
          <w:lang w:eastAsia="en-GB"/>
        </w:rPr>
        <w:t>FI</w:t>
      </w:r>
      <w:r w:rsidR="00B356B2">
        <w:rPr>
          <w:rFonts w:ascii="Times New Roman" w:eastAsia="Times New Roman" w:hAnsi="Times New Roman" w:cs="Times New Roman"/>
          <w:bCs/>
          <w:color w:val="000000" w:themeColor="text1"/>
          <w:sz w:val="24"/>
          <w:szCs w:val="24"/>
          <w:lang w:eastAsia="en-GB"/>
        </w:rPr>
        <w:t xml:space="preserve"> </w:t>
      </w:r>
      <w:r w:rsidR="00B356B2" w:rsidRPr="00F40820">
        <w:rPr>
          <w:rFonts w:ascii="Times New Roman" w:eastAsia="Times New Roman" w:hAnsi="Times New Roman" w:cs="Times New Roman"/>
          <w:bCs/>
          <w:color w:val="000000" w:themeColor="text1"/>
          <w:sz w:val="24"/>
          <w:szCs w:val="24"/>
          <w:lang w:eastAsia="en-GB"/>
        </w:rPr>
        <w:t>04</w:t>
      </w:r>
      <w:r w:rsidR="00B356B2">
        <w:rPr>
          <w:rFonts w:ascii="Times New Roman" w:eastAsia="Times New Roman" w:hAnsi="Times New Roman" w:cs="Times New Roman"/>
          <w:bCs/>
          <w:color w:val="000000" w:themeColor="text1"/>
          <w:sz w:val="24"/>
          <w:szCs w:val="24"/>
          <w:lang w:eastAsia="en-GB"/>
        </w:rPr>
        <w:t xml:space="preserve"> </w:t>
      </w:r>
      <w:r w:rsidR="00B356B2" w:rsidRPr="00F40820">
        <w:rPr>
          <w:rFonts w:ascii="Times New Roman" w:eastAsia="Times New Roman" w:hAnsi="Times New Roman" w:cs="Times New Roman"/>
          <w:bCs/>
          <w:color w:val="000000" w:themeColor="text1"/>
          <w:sz w:val="24"/>
          <w:szCs w:val="24"/>
          <w:lang w:eastAsia="en-GB"/>
        </w:rPr>
        <w:t>18</w:t>
      </w:r>
    </w:p>
    <w:p w:rsidR="00AB1DBF" w:rsidRDefault="00AB1DBF" w:rsidP="00251044">
      <w:pPr>
        <w:autoSpaceDE w:val="0"/>
        <w:autoSpaceDN w:val="0"/>
        <w:adjustRightInd w:val="0"/>
        <w:spacing w:before="120" w:after="0" w:line="240" w:lineRule="auto"/>
        <w:ind w:left="1985" w:hanging="1985"/>
        <w:jc w:val="both"/>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Programme title:</w:t>
      </w:r>
      <w:r w:rsidRPr="00FB7749">
        <w:rPr>
          <w:rFonts w:ascii="Times New Roman" w:eastAsia="Times New Roman" w:hAnsi="Times New Roman" w:cs="Times New Roman"/>
          <w:bCs/>
          <w:sz w:val="24"/>
          <w:szCs w:val="24"/>
          <w:lang w:eastAsia="en-GB"/>
        </w:rPr>
        <w:t xml:space="preserve"> </w:t>
      </w:r>
      <w:r w:rsidR="00B356B2">
        <w:rPr>
          <w:rFonts w:ascii="Times New Roman" w:eastAsia="Times New Roman" w:hAnsi="Times New Roman"/>
          <w:bCs/>
          <w:sz w:val="24"/>
          <w:szCs w:val="24"/>
          <w:lang w:eastAsia="en-GB"/>
        </w:rPr>
        <w:t xml:space="preserve">Technical Cooperation Facility, </w:t>
      </w:r>
      <w:r w:rsidR="00B356B2" w:rsidRPr="0080654D">
        <w:rPr>
          <w:rFonts w:ascii="Times New Roman" w:eastAsia="Times New Roman" w:hAnsi="Times New Roman"/>
          <w:bCs/>
          <w:sz w:val="24"/>
          <w:szCs w:val="24"/>
          <w:lang w:eastAsia="en-GB"/>
        </w:rPr>
        <w:t>ENI/201</w:t>
      </w:r>
      <w:r w:rsidR="00B356B2">
        <w:rPr>
          <w:rFonts w:ascii="Times New Roman" w:eastAsia="Times New Roman" w:hAnsi="Times New Roman"/>
          <w:bCs/>
          <w:sz w:val="24"/>
          <w:szCs w:val="24"/>
          <w:lang w:eastAsia="en-GB"/>
        </w:rPr>
        <w:t>6</w:t>
      </w:r>
      <w:r w:rsidR="00B356B2" w:rsidRPr="0080654D">
        <w:rPr>
          <w:rFonts w:ascii="Times New Roman" w:eastAsia="Times New Roman" w:hAnsi="Times New Roman"/>
          <w:bCs/>
          <w:sz w:val="24"/>
          <w:szCs w:val="24"/>
          <w:lang w:eastAsia="en-GB"/>
        </w:rPr>
        <w:t>/03</w:t>
      </w:r>
      <w:r w:rsidR="00B356B2">
        <w:rPr>
          <w:rFonts w:ascii="Times New Roman" w:eastAsia="Times New Roman" w:hAnsi="Times New Roman"/>
          <w:bCs/>
          <w:sz w:val="24"/>
          <w:szCs w:val="24"/>
          <w:lang w:eastAsia="en-GB"/>
        </w:rPr>
        <w:t>9</w:t>
      </w:r>
      <w:r w:rsidR="00B356B2" w:rsidRPr="0080654D">
        <w:rPr>
          <w:rFonts w:ascii="Times New Roman" w:eastAsia="Times New Roman" w:hAnsi="Times New Roman"/>
          <w:bCs/>
          <w:sz w:val="24"/>
          <w:szCs w:val="24"/>
          <w:lang w:eastAsia="en-GB"/>
        </w:rPr>
        <w:t>-3</w:t>
      </w:r>
      <w:r w:rsidR="00B356B2">
        <w:rPr>
          <w:rFonts w:ascii="Times New Roman" w:eastAsia="Times New Roman" w:hAnsi="Times New Roman"/>
          <w:bCs/>
          <w:sz w:val="24"/>
          <w:szCs w:val="24"/>
          <w:lang w:eastAsia="en-GB"/>
        </w:rPr>
        <w:t>37</w:t>
      </w:r>
    </w:p>
    <w:p w:rsidR="00617C9C" w:rsidRPr="00FB7749" w:rsidRDefault="00617C9C" w:rsidP="00251044">
      <w:pPr>
        <w:autoSpaceDE w:val="0"/>
        <w:autoSpaceDN w:val="0"/>
        <w:adjustRightInd w:val="0"/>
        <w:spacing w:before="120" w:after="0" w:line="240" w:lineRule="auto"/>
        <w:ind w:left="1985" w:hanging="1985"/>
        <w:jc w:val="both"/>
        <w:rPr>
          <w:rFonts w:ascii="Times New Roman" w:eastAsia="Times New Roman" w:hAnsi="Times New Roman" w:cs="Times New Roman"/>
          <w:b/>
          <w:color w:val="000000"/>
          <w:sz w:val="24"/>
          <w:szCs w:val="24"/>
          <w:lang w:eastAsia="en-GB"/>
        </w:rPr>
      </w:pPr>
    </w:p>
    <w:p w:rsidR="00AB1DBF" w:rsidRPr="007338F0" w:rsidRDefault="00AB1DBF" w:rsidP="00AB1DBF">
      <w:pPr>
        <w:rPr>
          <w:rFonts w:ascii="Times New Roman" w:hAnsi="Times New Roman" w:cs="Times New Roman"/>
          <w:b/>
          <w:sz w:val="24"/>
          <w:szCs w:val="24"/>
          <w:lang w:eastAsia="en-GB"/>
        </w:rPr>
      </w:pPr>
      <w:bookmarkStart w:id="13" w:name="_Toc442374582"/>
      <w:bookmarkStart w:id="14" w:name="_Toc442375072"/>
      <w:bookmarkStart w:id="15" w:name="_Toc443320394"/>
      <w:bookmarkStart w:id="16" w:name="_Toc464460241"/>
      <w:bookmarkStart w:id="17" w:name="_Toc476063588"/>
      <w:bookmarkStart w:id="18" w:name="_Toc476068070"/>
      <w:r w:rsidRPr="007338F0">
        <w:rPr>
          <w:rFonts w:ascii="Times New Roman" w:hAnsi="Times New Roman" w:cs="Times New Roman"/>
          <w:b/>
          <w:sz w:val="24"/>
          <w:szCs w:val="24"/>
          <w:lang w:eastAsia="en-GB"/>
        </w:rPr>
        <w:t>3.</w:t>
      </w:r>
      <w:r w:rsidRPr="007338F0">
        <w:rPr>
          <w:rFonts w:ascii="Times New Roman" w:hAnsi="Times New Roman" w:cs="Times New Roman"/>
          <w:b/>
          <w:sz w:val="24"/>
          <w:szCs w:val="24"/>
          <w:lang w:eastAsia="en-GB"/>
        </w:rPr>
        <w:tab/>
        <w:t>Nature of activities, geographical area and project duration</w:t>
      </w:r>
      <w:bookmarkEnd w:id="13"/>
      <w:bookmarkEnd w:id="14"/>
      <w:bookmarkEnd w:id="15"/>
      <w:bookmarkEnd w:id="16"/>
      <w:bookmarkEnd w:id="17"/>
      <w:bookmarkEnd w:id="18"/>
    </w:p>
    <w:p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snapToGrid w:val="0"/>
          <w:color w:val="000000"/>
          <w:sz w:val="24"/>
          <w:szCs w:val="24"/>
        </w:rPr>
        <w:tab/>
      </w:r>
      <w:r w:rsidRPr="00FB7749">
        <w:rPr>
          <w:rFonts w:ascii="Times New Roman" w:eastAsia="Times New Roman" w:hAnsi="Times New Roman" w:cs="Times New Roman"/>
          <w:b/>
          <w:snapToGrid w:val="0"/>
          <w:color w:val="000000"/>
          <w:sz w:val="24"/>
          <w:szCs w:val="24"/>
        </w:rPr>
        <w:t>(a)</w:t>
      </w:r>
      <w:r w:rsidRPr="00FB7749">
        <w:rPr>
          <w:rFonts w:ascii="Times New Roman" w:eastAsia="Times New Roman" w:hAnsi="Times New Roman" w:cs="Times New Roman"/>
          <w:b/>
          <w:snapToGrid w:val="0"/>
          <w:color w:val="000000"/>
          <w:sz w:val="24"/>
          <w:szCs w:val="24"/>
        </w:rPr>
        <w:tab/>
        <w:t>Short description (5 lines) of planned objectives:</w:t>
      </w:r>
      <w:r w:rsidRPr="00FB7749">
        <w:rPr>
          <w:rFonts w:ascii="Times New Roman" w:eastAsia="Times New Roman" w:hAnsi="Times New Roman" w:cs="Times New Roman"/>
          <w:bCs/>
          <w:sz w:val="24"/>
          <w:szCs w:val="24"/>
          <w:lang w:eastAsia="en-GB"/>
        </w:rPr>
        <w:t xml:space="preserve"> </w:t>
      </w:r>
    </w:p>
    <w:p w:rsidR="00B356B2" w:rsidRDefault="00B356B2" w:rsidP="00826F99">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rPr>
      </w:pPr>
      <w:r w:rsidRPr="004F6A97">
        <w:rPr>
          <w:rFonts w:ascii="Times New Roman" w:hAnsi="Times New Roman" w:cs="Times New Roman"/>
        </w:rPr>
        <w:t xml:space="preserve">The overall objective of the Twinning Project is to ensure stability and transparency of </w:t>
      </w:r>
      <w:r>
        <w:rPr>
          <w:rFonts w:ascii="Times New Roman" w:hAnsi="Times New Roman" w:cs="Times New Roman"/>
        </w:rPr>
        <w:t xml:space="preserve">the </w:t>
      </w:r>
      <w:r w:rsidRPr="004F6A97">
        <w:rPr>
          <w:rFonts w:ascii="Times New Roman" w:hAnsi="Times New Roman" w:cs="Times New Roman"/>
        </w:rPr>
        <w:t xml:space="preserve">financial sector </w:t>
      </w:r>
      <w:r>
        <w:rPr>
          <w:rFonts w:ascii="Times New Roman" w:hAnsi="Times New Roman" w:cs="Times New Roman"/>
        </w:rPr>
        <w:t xml:space="preserve">by </w:t>
      </w:r>
      <w:r w:rsidRPr="004F6A97">
        <w:rPr>
          <w:rFonts w:ascii="Times New Roman" w:hAnsi="Times New Roman" w:cs="Times New Roman"/>
        </w:rPr>
        <w:t>assist</w:t>
      </w:r>
      <w:r>
        <w:rPr>
          <w:rFonts w:ascii="Times New Roman" w:hAnsi="Times New Roman" w:cs="Times New Roman"/>
        </w:rPr>
        <w:t xml:space="preserve">ing </w:t>
      </w:r>
      <w:r w:rsidRPr="004F6A97">
        <w:rPr>
          <w:rFonts w:ascii="Times New Roman" w:hAnsi="Times New Roman" w:cs="Times New Roman"/>
        </w:rPr>
        <w:t>National Bank of Georgia (NBG) to improve overall financial supervisory mechanisms in line with the EU best practices.</w:t>
      </w:r>
    </w:p>
    <w:p w:rsidR="00697E13" w:rsidRDefault="00B356B2"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i/>
          <w:lang w:eastAsia="en-GB"/>
        </w:rPr>
      </w:pPr>
      <w:r w:rsidRPr="004F6A97">
        <w:rPr>
          <w:rFonts w:ascii="Times New Roman" w:hAnsi="Times New Roman" w:cs="Times New Roman"/>
        </w:rPr>
        <w:t xml:space="preserve">The specific objective of the project is to strengthen NBG’s capacity in the field of banking and payment services as well as gradually approximate </w:t>
      </w:r>
      <w:r>
        <w:rPr>
          <w:rFonts w:ascii="Times New Roman" w:hAnsi="Times New Roman" w:cs="Times New Roman"/>
        </w:rPr>
        <w:t xml:space="preserve">the </w:t>
      </w:r>
      <w:r w:rsidRPr="004F6A97">
        <w:rPr>
          <w:rFonts w:ascii="Times New Roman" w:hAnsi="Times New Roman" w:cs="Times New Roman"/>
        </w:rPr>
        <w:t xml:space="preserve">regulatory, supervisory and enforcement framework in line with the EU legislation and </w:t>
      </w:r>
      <w:r>
        <w:rPr>
          <w:rFonts w:ascii="Times New Roman" w:hAnsi="Times New Roman" w:cs="Times New Roman"/>
        </w:rPr>
        <w:t xml:space="preserve">the </w:t>
      </w:r>
      <w:r w:rsidRPr="004F6A97">
        <w:rPr>
          <w:rFonts w:ascii="Times New Roman" w:hAnsi="Times New Roman" w:cs="Times New Roman"/>
        </w:rPr>
        <w:t>requirements under the EU-Georgia Association Agreement.</w:t>
      </w:r>
    </w:p>
    <w:p w:rsidR="00AA716B" w:rsidRPr="00AA716B" w:rsidRDefault="00AA716B"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i/>
          <w:lang w:eastAsia="en-GB"/>
        </w:rPr>
      </w:pPr>
      <w:r w:rsidRPr="00AA716B">
        <w:rPr>
          <w:rFonts w:ascii="Times New Roman" w:eastAsia="Times New Roman" w:hAnsi="Times New Roman" w:cs="Times New Roman"/>
          <w:i/>
          <w:lang w:eastAsia="en-GB"/>
        </w:rPr>
        <w:t>The following mandatory results are to be achieved by this Twinning project:</w:t>
      </w:r>
    </w:p>
    <w:p w:rsidR="00697E13" w:rsidRDefault="00697E13" w:rsidP="00826F99">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
          <w:snapToGrid w:val="0"/>
          <w:color w:val="000000"/>
        </w:rPr>
      </w:pPr>
    </w:p>
    <w:p w:rsidR="00B356B2" w:rsidRDefault="00B356B2" w:rsidP="00B356B2">
      <w:pPr>
        <w:spacing w:before="120" w:after="120"/>
        <w:jc w:val="both"/>
        <w:rPr>
          <w:rFonts w:ascii="Times New Roman" w:hAnsi="Times New Roman" w:cs="Times New Roman"/>
          <w:b/>
          <w:u w:val="single" w:color="FFFFFF" w:themeColor="background1"/>
        </w:rPr>
      </w:pPr>
      <w:r w:rsidRPr="00A74B53">
        <w:rPr>
          <w:rFonts w:ascii="Times New Roman" w:hAnsi="Times New Roman" w:cs="Times New Roman"/>
          <w:b/>
          <w:u w:val="single" w:color="FFFFFF" w:themeColor="background1"/>
        </w:rPr>
        <w:t xml:space="preserve">Component 1 – Approximation </w:t>
      </w:r>
      <w:r>
        <w:rPr>
          <w:rFonts w:ascii="Times New Roman" w:hAnsi="Times New Roman" w:cs="Times New Roman"/>
          <w:b/>
          <w:u w:val="single" w:color="FFFFFF" w:themeColor="background1"/>
        </w:rPr>
        <w:t xml:space="preserve">and implementation </w:t>
      </w:r>
      <w:r w:rsidRPr="00A74B53">
        <w:rPr>
          <w:rFonts w:ascii="Times New Roman" w:hAnsi="Times New Roman" w:cs="Times New Roman"/>
          <w:b/>
          <w:u w:val="single" w:color="FFFFFF" w:themeColor="background1"/>
        </w:rPr>
        <w:t xml:space="preserve">of Georgian </w:t>
      </w:r>
      <w:r>
        <w:rPr>
          <w:rFonts w:ascii="Times New Roman" w:hAnsi="Times New Roman" w:cs="Times New Roman"/>
          <w:b/>
          <w:u w:val="single" w:color="FFFFFF" w:themeColor="background1"/>
        </w:rPr>
        <w:t xml:space="preserve">legislation with Union </w:t>
      </w:r>
      <w:r w:rsidRPr="001878BA">
        <w:rPr>
          <w:rFonts w:ascii="Times New Roman" w:hAnsi="Times New Roman" w:cs="Times New Roman"/>
          <w:b/>
          <w:i/>
          <w:u w:val="single" w:color="FFFFFF" w:themeColor="background1"/>
        </w:rPr>
        <w:t xml:space="preserve">acquis </w:t>
      </w:r>
      <w:r w:rsidRPr="001878BA">
        <w:rPr>
          <w:rFonts w:ascii="Times New Roman" w:hAnsi="Times New Roman" w:cs="Times New Roman"/>
          <w:b/>
          <w:u w:val="single" w:color="FFFFFF" w:themeColor="background1"/>
        </w:rPr>
        <w:t xml:space="preserve">in the banking sector </w:t>
      </w:r>
    </w:p>
    <w:p w:rsidR="00B356B2" w:rsidRPr="00A74B53" w:rsidRDefault="00B356B2" w:rsidP="00B356B2">
      <w:pPr>
        <w:spacing w:before="120" w:after="120" w:line="240" w:lineRule="auto"/>
        <w:jc w:val="both"/>
        <w:rPr>
          <w:rFonts w:ascii="Times New Roman" w:hAnsi="Times New Roman" w:cs="Times New Roman"/>
          <w:u w:val="single" w:color="FFFFFF" w:themeColor="background1"/>
        </w:rPr>
      </w:pPr>
      <w:r w:rsidRPr="00A74B53">
        <w:rPr>
          <w:rFonts w:ascii="Times New Roman" w:hAnsi="Times New Roman" w:cs="Times New Roman"/>
          <w:u w:val="single" w:color="FFFFFF" w:themeColor="background1"/>
        </w:rPr>
        <w:t xml:space="preserve">The banking legislation </w:t>
      </w:r>
      <w:r w:rsidR="00B61B9E">
        <w:rPr>
          <w:rFonts w:ascii="Times New Roman" w:hAnsi="Times New Roman" w:cs="Times New Roman"/>
          <w:u w:val="single" w:color="FFFFFF" w:themeColor="background1"/>
        </w:rPr>
        <w:t xml:space="preserve">should be </w:t>
      </w:r>
      <w:r w:rsidR="00B61B9E" w:rsidRPr="00A74B53">
        <w:rPr>
          <w:rFonts w:ascii="Times New Roman" w:hAnsi="Times New Roman" w:cs="Times New Roman"/>
          <w:u w:val="single" w:color="FFFFFF" w:themeColor="background1"/>
        </w:rPr>
        <w:t>amended</w:t>
      </w:r>
      <w:r w:rsidRPr="00A74B53">
        <w:rPr>
          <w:rFonts w:ascii="Times New Roman" w:hAnsi="Times New Roman" w:cs="Times New Roman"/>
          <w:u w:val="single" w:color="FFFFFF" w:themeColor="background1"/>
        </w:rPr>
        <w:t xml:space="preserve"> to ensure strengthened resilience, better governance and more transparency in the banking sector in line with the </w:t>
      </w:r>
      <w:r>
        <w:rPr>
          <w:rFonts w:ascii="Times New Roman" w:hAnsi="Times New Roman" w:cs="Times New Roman"/>
          <w:u w:val="single" w:color="FFFFFF" w:themeColor="background1"/>
        </w:rPr>
        <w:t>Union</w:t>
      </w:r>
      <w:r w:rsidRPr="00A74B53">
        <w:rPr>
          <w:rFonts w:ascii="Times New Roman" w:hAnsi="Times New Roman" w:cs="Times New Roman"/>
          <w:u w:val="single" w:color="FFFFFF" w:themeColor="background1"/>
        </w:rPr>
        <w:t xml:space="preserve"> </w:t>
      </w:r>
      <w:r w:rsidRPr="00A74B53">
        <w:rPr>
          <w:rFonts w:ascii="Times New Roman" w:hAnsi="Times New Roman" w:cs="Times New Roman"/>
          <w:i/>
          <w:u w:val="single" w:color="FFFFFF" w:themeColor="background1"/>
        </w:rPr>
        <w:t xml:space="preserve">acquis. </w:t>
      </w:r>
      <w:r w:rsidRPr="00A74B53">
        <w:rPr>
          <w:rFonts w:ascii="Times New Roman" w:hAnsi="Times New Roman" w:cs="Times New Roman"/>
        </w:rPr>
        <w:t xml:space="preserve">Besides, there is a need to introduce legislative amendments to strengthen the effective supervision of financial conglomerates in Georgia with the overall goal to </w:t>
      </w:r>
      <w:r>
        <w:rPr>
          <w:rFonts w:ascii="Times New Roman" w:hAnsi="Times New Roman" w:cs="Times New Roman"/>
        </w:rPr>
        <w:t>e</w:t>
      </w:r>
      <w:r w:rsidRPr="00A74B53">
        <w:rPr>
          <w:rFonts w:ascii="Times New Roman" w:hAnsi="Times New Roman" w:cs="Times New Roman"/>
        </w:rPr>
        <w:t>nsure financial sta</w:t>
      </w:r>
      <w:r>
        <w:rPr>
          <w:rFonts w:ascii="Times New Roman" w:hAnsi="Times New Roman" w:cs="Times New Roman"/>
        </w:rPr>
        <w:t>bility and consumer protection. S</w:t>
      </w:r>
      <w:r w:rsidRPr="00A74B53">
        <w:rPr>
          <w:rFonts w:ascii="Times New Roman" w:hAnsi="Times New Roman" w:cs="Times New Roman"/>
          <w:u w:val="single" w:color="FFFFFF" w:themeColor="background1"/>
        </w:rPr>
        <w:t xml:space="preserve">upport is required in order to ensure the </w:t>
      </w:r>
      <w:r>
        <w:rPr>
          <w:rFonts w:ascii="Times New Roman" w:hAnsi="Times New Roman" w:cs="Times New Roman"/>
          <w:u w:val="single" w:color="FFFFFF" w:themeColor="background1"/>
        </w:rPr>
        <w:t>completion</w:t>
      </w:r>
      <w:r w:rsidRPr="00A74B53">
        <w:rPr>
          <w:rFonts w:ascii="Times New Roman" w:hAnsi="Times New Roman" w:cs="Times New Roman"/>
          <w:u w:val="single" w:color="FFFFFF" w:themeColor="background1"/>
        </w:rPr>
        <w:t xml:space="preserve"> of a comprehensive, efficient and effective supervision system.</w:t>
      </w:r>
      <w:r>
        <w:rPr>
          <w:rFonts w:ascii="Times New Roman" w:hAnsi="Times New Roman" w:cs="Times New Roman"/>
          <w:u w:val="single" w:color="FFFFFF" w:themeColor="background1"/>
        </w:rPr>
        <w:t xml:space="preserve"> </w:t>
      </w:r>
      <w:r>
        <w:rPr>
          <w:rFonts w:ascii="Times New Roman" w:hAnsi="Times New Roman" w:cs="Times New Roman"/>
        </w:rPr>
        <w:t xml:space="preserve">In addition, the project </w:t>
      </w:r>
      <w:r w:rsidRPr="00224E90">
        <w:rPr>
          <w:rFonts w:ascii="Times New Roman" w:hAnsi="Times New Roman" w:cs="Times New Roman"/>
        </w:rPr>
        <w:t>is expected to contribute to sharing the best EU practices in banking</w:t>
      </w:r>
      <w:r>
        <w:rPr>
          <w:rFonts w:ascii="Times New Roman" w:hAnsi="Times New Roman" w:cs="Times New Roman"/>
        </w:rPr>
        <w:t xml:space="preserve"> regulation.</w:t>
      </w:r>
      <w:r w:rsidRPr="00224E90">
        <w:rPr>
          <w:rFonts w:ascii="Times New Roman" w:hAnsi="Times New Roman" w:cs="Times New Roman"/>
        </w:rPr>
        <w:t xml:space="preserve"> </w:t>
      </w:r>
      <w:r w:rsidRPr="00A74B53">
        <w:rPr>
          <w:rFonts w:ascii="Times New Roman" w:hAnsi="Times New Roman" w:cs="Times New Roman"/>
          <w:u w:val="single" w:color="FFFFFF" w:themeColor="background1"/>
        </w:rPr>
        <w:t xml:space="preserve">Capacity building is </w:t>
      </w:r>
      <w:r w:rsidR="00B61B9E">
        <w:rPr>
          <w:rFonts w:ascii="Times New Roman" w:hAnsi="Times New Roman" w:cs="Times New Roman"/>
          <w:u w:val="single" w:color="FFFFFF" w:themeColor="background1"/>
        </w:rPr>
        <w:t xml:space="preserve">necessary in order </w:t>
      </w:r>
      <w:r w:rsidRPr="00A74B53">
        <w:rPr>
          <w:rFonts w:ascii="Times New Roman" w:hAnsi="Times New Roman" w:cs="Times New Roman"/>
          <w:u w:val="single" w:color="FFFFFF" w:themeColor="background1"/>
        </w:rPr>
        <w:t>to comply with all the amendments and new legislative initiatives adopted in line with the requirements of the A</w:t>
      </w:r>
      <w:r w:rsidR="00B61B9E">
        <w:rPr>
          <w:rFonts w:ascii="Times New Roman" w:hAnsi="Times New Roman" w:cs="Times New Roman"/>
          <w:u w:val="single" w:color="FFFFFF" w:themeColor="background1"/>
        </w:rPr>
        <w:t xml:space="preserve">ssociation </w:t>
      </w:r>
      <w:r w:rsidRPr="00A74B53">
        <w:rPr>
          <w:rFonts w:ascii="Times New Roman" w:hAnsi="Times New Roman" w:cs="Times New Roman"/>
          <w:u w:val="single" w:color="FFFFFF" w:themeColor="background1"/>
        </w:rPr>
        <w:t>A</w:t>
      </w:r>
      <w:r w:rsidR="00B61B9E">
        <w:rPr>
          <w:rFonts w:ascii="Times New Roman" w:hAnsi="Times New Roman" w:cs="Times New Roman"/>
          <w:u w:val="single" w:color="FFFFFF" w:themeColor="background1"/>
        </w:rPr>
        <w:t>greement</w:t>
      </w:r>
      <w:r w:rsidRPr="00A74B53">
        <w:rPr>
          <w:rFonts w:ascii="Times New Roman" w:hAnsi="Times New Roman" w:cs="Times New Roman"/>
          <w:u w:val="single" w:color="FFFFFF" w:themeColor="background1"/>
        </w:rPr>
        <w:t xml:space="preserve">. </w:t>
      </w:r>
      <w:r>
        <w:rPr>
          <w:rFonts w:ascii="Times New Roman" w:hAnsi="Times New Roman" w:cs="Times New Roman"/>
          <w:u w:val="single" w:color="FFFFFF" w:themeColor="background1"/>
        </w:rPr>
        <w:t>Under the component</w:t>
      </w:r>
      <w:r w:rsidR="00B61B9E">
        <w:rPr>
          <w:rFonts w:ascii="Times New Roman" w:hAnsi="Times New Roman" w:cs="Times New Roman"/>
          <w:u w:val="single" w:color="FFFFFF" w:themeColor="background1"/>
        </w:rPr>
        <w:t>,</w:t>
      </w:r>
      <w:r>
        <w:rPr>
          <w:rFonts w:ascii="Times New Roman" w:hAnsi="Times New Roman" w:cs="Times New Roman"/>
          <w:u w:val="single" w:color="FFFFFF" w:themeColor="background1"/>
        </w:rPr>
        <w:t xml:space="preserve"> capacity building activities</w:t>
      </w:r>
      <w:r w:rsidR="00B61B9E">
        <w:rPr>
          <w:rFonts w:ascii="Times New Roman" w:hAnsi="Times New Roman" w:cs="Times New Roman"/>
          <w:u w:val="single" w:color="FFFFFF" w:themeColor="background1"/>
        </w:rPr>
        <w:t xml:space="preserve"> have to be organized</w:t>
      </w:r>
      <w:r>
        <w:rPr>
          <w:rFonts w:ascii="Times New Roman" w:hAnsi="Times New Roman" w:cs="Times New Roman"/>
          <w:u w:val="single" w:color="FFFFFF" w:themeColor="background1"/>
        </w:rPr>
        <w:t>, including trainings, workshops and seminars for NBG employees in the areas targeted by the legislative amendments. It</w:t>
      </w:r>
      <w:r w:rsidR="00B61B9E">
        <w:rPr>
          <w:rFonts w:ascii="Times New Roman" w:hAnsi="Times New Roman" w:cs="Times New Roman"/>
          <w:u w:val="single" w:color="FFFFFF" w:themeColor="background1"/>
        </w:rPr>
        <w:t xml:space="preserve"> woul</w:t>
      </w:r>
      <w:r>
        <w:rPr>
          <w:rFonts w:ascii="Times New Roman" w:hAnsi="Times New Roman" w:cs="Times New Roman"/>
          <w:u w:val="single" w:color="FFFFFF" w:themeColor="background1"/>
        </w:rPr>
        <w:t xml:space="preserve">d be </w:t>
      </w:r>
      <w:r w:rsidR="00B61B9E">
        <w:rPr>
          <w:rFonts w:ascii="Times New Roman" w:hAnsi="Times New Roman" w:cs="Times New Roman"/>
          <w:u w:val="single" w:color="FFFFFF" w:themeColor="background1"/>
        </w:rPr>
        <w:t>necessary</w:t>
      </w:r>
      <w:r>
        <w:rPr>
          <w:rFonts w:ascii="Times New Roman" w:hAnsi="Times New Roman" w:cs="Times New Roman"/>
          <w:u w:val="single" w:color="FFFFFF" w:themeColor="background1"/>
        </w:rPr>
        <w:t xml:space="preserve"> </w:t>
      </w:r>
      <w:r w:rsidR="00B61B9E">
        <w:rPr>
          <w:rFonts w:ascii="Times New Roman" w:hAnsi="Times New Roman" w:cs="Times New Roman"/>
          <w:u w:val="single" w:color="FFFFFF" w:themeColor="background1"/>
        </w:rPr>
        <w:t>give</w:t>
      </w:r>
      <w:r>
        <w:rPr>
          <w:rFonts w:ascii="Times New Roman" w:hAnsi="Times New Roman" w:cs="Times New Roman"/>
          <w:u w:val="single" w:color="FFFFFF" w:themeColor="background1"/>
        </w:rPr>
        <w:t xml:space="preserve"> opportunity for NBG relevant staff to get acquainted with practical aspects of the work </w:t>
      </w:r>
      <w:r w:rsidR="00B61B9E">
        <w:rPr>
          <w:rFonts w:ascii="Times New Roman" w:hAnsi="Times New Roman" w:cs="Times New Roman"/>
          <w:u w:val="single" w:color="FFFFFF" w:themeColor="background1"/>
        </w:rPr>
        <w:t>during</w:t>
      </w:r>
      <w:r>
        <w:rPr>
          <w:rFonts w:ascii="Times New Roman" w:hAnsi="Times New Roman" w:cs="Times New Roman"/>
          <w:u w:val="single" w:color="FFFFFF" w:themeColor="background1"/>
        </w:rPr>
        <w:t xml:space="preserve"> study visit</w:t>
      </w:r>
      <w:r w:rsidR="00B61B9E">
        <w:rPr>
          <w:rFonts w:ascii="Times New Roman" w:hAnsi="Times New Roman" w:cs="Times New Roman"/>
          <w:u w:val="single" w:color="FFFFFF" w:themeColor="background1"/>
        </w:rPr>
        <w:t>s</w:t>
      </w:r>
      <w:r>
        <w:rPr>
          <w:rFonts w:ascii="Times New Roman" w:hAnsi="Times New Roman" w:cs="Times New Roman"/>
          <w:u w:val="single" w:color="FFFFFF" w:themeColor="background1"/>
        </w:rPr>
        <w:t xml:space="preserve"> and/or internship</w:t>
      </w:r>
      <w:r w:rsidR="00B61B9E">
        <w:rPr>
          <w:rFonts w:ascii="Times New Roman" w:hAnsi="Times New Roman" w:cs="Times New Roman"/>
          <w:u w:val="single" w:color="FFFFFF" w:themeColor="background1"/>
        </w:rPr>
        <w:t>s</w:t>
      </w:r>
      <w:r>
        <w:rPr>
          <w:rFonts w:ascii="Times New Roman" w:hAnsi="Times New Roman" w:cs="Times New Roman"/>
          <w:u w:val="single" w:color="FFFFFF" w:themeColor="background1"/>
        </w:rPr>
        <w:t xml:space="preserve"> to the MS countries.</w:t>
      </w:r>
    </w:p>
    <w:p w:rsidR="00B356B2" w:rsidRPr="00A74B53" w:rsidRDefault="00B356B2" w:rsidP="00B356B2">
      <w:pPr>
        <w:spacing w:before="120" w:after="120"/>
        <w:jc w:val="both"/>
        <w:rPr>
          <w:rFonts w:ascii="Times New Roman" w:hAnsi="Times New Roman" w:cs="Times New Roman"/>
        </w:rPr>
      </w:pPr>
      <w:r>
        <w:rPr>
          <w:rFonts w:ascii="Times New Roman" w:hAnsi="Times New Roman" w:cs="Times New Roman"/>
          <w:b/>
        </w:rPr>
        <w:lastRenderedPageBreak/>
        <w:t>Result 1.1</w:t>
      </w:r>
      <w:r w:rsidRPr="001B1F20">
        <w:rPr>
          <w:rFonts w:ascii="Times New Roman" w:hAnsi="Times New Roman" w:cs="Times New Roman"/>
          <w:b/>
        </w:rPr>
        <w:t>:</w:t>
      </w:r>
      <w:r w:rsidRPr="001B1F20">
        <w:rPr>
          <w:rFonts w:ascii="Times New Roman" w:hAnsi="Times New Roman" w:cs="Times New Roman"/>
        </w:rPr>
        <w:t xml:space="preserve"> </w:t>
      </w:r>
      <w:r>
        <w:rPr>
          <w:rFonts w:ascii="Times New Roman" w:hAnsi="Times New Roman" w:cs="Times New Roman"/>
        </w:rPr>
        <w:t xml:space="preserve">Contribution to the revision and implementation of the </w:t>
      </w:r>
      <w:r w:rsidRPr="001B1F20">
        <w:rPr>
          <w:rFonts w:ascii="Times New Roman" w:hAnsi="Times New Roman" w:cs="Times New Roman"/>
        </w:rPr>
        <w:t>Banking legislation in accordance with CRD IV Package</w:t>
      </w:r>
      <w:r w:rsidRPr="001B1F20">
        <w:rPr>
          <w:rStyle w:val="FootnoteReference"/>
          <w:rFonts w:ascii="Times New Roman" w:hAnsi="Times New Roman"/>
        </w:rPr>
        <w:footnoteReference w:id="1"/>
      </w:r>
      <w:r w:rsidRPr="00A74B53">
        <w:rPr>
          <w:rFonts w:ascii="Times New Roman" w:hAnsi="Times New Roman" w:cs="Times New Roman"/>
        </w:rPr>
        <w:tab/>
      </w:r>
    </w:p>
    <w:p w:rsidR="00697E13" w:rsidRDefault="00697E13"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b/>
        </w:rPr>
      </w:pPr>
    </w:p>
    <w:p w:rsidR="00896A8B" w:rsidRPr="00BE0ABC" w:rsidRDefault="00896A8B" w:rsidP="00896A8B">
      <w:pPr>
        <w:spacing w:before="120" w:after="120"/>
        <w:jc w:val="both"/>
        <w:rPr>
          <w:rFonts w:ascii="Times New Roman" w:hAnsi="Times New Roman" w:cs="Times New Roman"/>
          <w:b/>
          <w:u w:val="single" w:color="FFFFFF" w:themeColor="background1"/>
        </w:rPr>
      </w:pPr>
      <w:r w:rsidRPr="00BE0ABC">
        <w:rPr>
          <w:rFonts w:ascii="Times New Roman" w:hAnsi="Times New Roman" w:cs="Times New Roman"/>
          <w:b/>
          <w:u w:val="single" w:color="FFFFFF" w:themeColor="background1"/>
        </w:rPr>
        <w:t xml:space="preserve">Component </w:t>
      </w:r>
      <w:r>
        <w:rPr>
          <w:rFonts w:ascii="Times New Roman" w:hAnsi="Times New Roman" w:cs="Times New Roman"/>
          <w:b/>
          <w:u w:val="single" w:color="FFFFFF" w:themeColor="background1"/>
        </w:rPr>
        <w:t>2</w:t>
      </w:r>
      <w:r w:rsidRPr="00BE0ABC">
        <w:rPr>
          <w:rFonts w:ascii="Times New Roman" w:hAnsi="Times New Roman" w:cs="Times New Roman"/>
          <w:b/>
          <w:u w:val="single" w:color="FFFFFF" w:themeColor="background1"/>
        </w:rPr>
        <w:t xml:space="preserve"> – Approximation </w:t>
      </w:r>
      <w:r>
        <w:rPr>
          <w:rFonts w:ascii="Times New Roman" w:hAnsi="Times New Roman" w:cs="Times New Roman"/>
          <w:b/>
          <w:u w:val="single" w:color="FFFFFF" w:themeColor="background1"/>
        </w:rPr>
        <w:t xml:space="preserve">and implementation </w:t>
      </w:r>
      <w:r w:rsidRPr="00BE0ABC">
        <w:rPr>
          <w:rFonts w:ascii="Times New Roman" w:hAnsi="Times New Roman" w:cs="Times New Roman"/>
          <w:b/>
          <w:u w:val="single" w:color="FFFFFF" w:themeColor="background1"/>
        </w:rPr>
        <w:t xml:space="preserve">of Georgian </w:t>
      </w:r>
      <w:r>
        <w:rPr>
          <w:rFonts w:ascii="Times New Roman" w:hAnsi="Times New Roman" w:cs="Times New Roman"/>
          <w:b/>
          <w:u w:val="single" w:color="FFFFFF" w:themeColor="background1"/>
        </w:rPr>
        <w:t>legislation</w:t>
      </w:r>
      <w:r w:rsidRPr="00BE0ABC">
        <w:rPr>
          <w:rFonts w:ascii="Times New Roman" w:hAnsi="Times New Roman" w:cs="Times New Roman"/>
          <w:b/>
          <w:u w:val="single" w:color="FFFFFF" w:themeColor="background1"/>
        </w:rPr>
        <w:t xml:space="preserve"> with the Union </w:t>
      </w:r>
      <w:r w:rsidRPr="00BE0ABC">
        <w:rPr>
          <w:rFonts w:ascii="Times New Roman" w:hAnsi="Times New Roman" w:cs="Times New Roman"/>
          <w:b/>
          <w:i/>
          <w:u w:val="single" w:color="FFFFFF" w:themeColor="background1"/>
        </w:rPr>
        <w:t xml:space="preserve">acquis </w:t>
      </w:r>
      <w:r w:rsidRPr="00BE0ABC">
        <w:rPr>
          <w:rFonts w:ascii="Times New Roman" w:hAnsi="Times New Roman" w:cs="Times New Roman"/>
          <w:b/>
          <w:u w:val="single" w:color="FFFFFF" w:themeColor="background1"/>
        </w:rPr>
        <w:t xml:space="preserve">in the area of </w:t>
      </w:r>
      <w:r>
        <w:rPr>
          <w:rFonts w:ascii="Times New Roman" w:hAnsi="Times New Roman" w:cs="Times New Roman"/>
          <w:b/>
          <w:u w:val="single" w:color="FFFFFF" w:themeColor="background1"/>
        </w:rPr>
        <w:t xml:space="preserve">payments </w:t>
      </w:r>
      <w:r w:rsidRPr="00BE0ABC">
        <w:rPr>
          <w:rFonts w:ascii="Times New Roman" w:hAnsi="Times New Roman" w:cs="Times New Roman"/>
          <w:b/>
          <w:u w:val="single" w:color="FFFFFF" w:themeColor="background1"/>
        </w:rPr>
        <w:t xml:space="preserve"> </w:t>
      </w:r>
    </w:p>
    <w:p w:rsidR="00896A8B" w:rsidRPr="00481945" w:rsidRDefault="00896A8B" w:rsidP="00896A8B">
      <w:pPr>
        <w:spacing w:before="120" w:after="120" w:line="240" w:lineRule="auto"/>
        <w:jc w:val="both"/>
        <w:rPr>
          <w:rFonts w:ascii="Times New Roman" w:hAnsi="Times New Roman" w:cs="Times New Roman"/>
          <w:u w:val="single" w:color="FFFFFF" w:themeColor="background1"/>
        </w:rPr>
      </w:pPr>
      <w:r>
        <w:rPr>
          <w:rFonts w:ascii="Times New Roman" w:hAnsi="Times New Roman" w:cs="Times New Roman"/>
          <w:u w:val="single" w:color="FFFFFF" w:themeColor="background1"/>
        </w:rPr>
        <w:t>I</w:t>
      </w:r>
      <w:r w:rsidRPr="00A74B53">
        <w:rPr>
          <w:rFonts w:ascii="Times New Roman" w:hAnsi="Times New Roman" w:cs="Times New Roman"/>
          <w:u w:val="single" w:color="FFFFFF" w:themeColor="background1"/>
        </w:rPr>
        <w:t xml:space="preserve">t is </w:t>
      </w:r>
      <w:r w:rsidR="00B61B9E">
        <w:rPr>
          <w:rFonts w:ascii="Times New Roman" w:hAnsi="Times New Roman" w:cs="Times New Roman"/>
          <w:u w:val="single" w:color="FFFFFF" w:themeColor="background1"/>
        </w:rPr>
        <w:t>necessary</w:t>
      </w:r>
      <w:r w:rsidRPr="00A74B53">
        <w:rPr>
          <w:rFonts w:ascii="Times New Roman" w:hAnsi="Times New Roman" w:cs="Times New Roman"/>
          <w:u w:val="single" w:color="FFFFFF" w:themeColor="background1"/>
        </w:rPr>
        <w:t xml:space="preserve"> to identify and review gaps between the Second Payment Services Directive (PSD 2), Settlement Finality Directive, Regulation on Cross-border Payments and Georgian legislation and to amend national regulatory framework in line with the requirements of the EU law. It is </w:t>
      </w:r>
      <w:r w:rsidR="00B61B9E">
        <w:rPr>
          <w:rFonts w:ascii="Times New Roman" w:hAnsi="Times New Roman" w:cs="Times New Roman"/>
          <w:u w:val="single" w:color="FFFFFF" w:themeColor="background1"/>
        </w:rPr>
        <w:t>foreseen to establish</w:t>
      </w:r>
      <w:r w:rsidRPr="00A74B53">
        <w:rPr>
          <w:rFonts w:ascii="Times New Roman" w:hAnsi="Times New Roman" w:cs="Times New Roman"/>
          <w:u w:val="single" w:color="FFFFFF" w:themeColor="background1"/>
        </w:rPr>
        <w:t xml:space="preserve"> </w:t>
      </w:r>
      <w:r w:rsidR="00B61B9E" w:rsidRPr="00A74B53">
        <w:rPr>
          <w:rFonts w:ascii="Times New Roman" w:hAnsi="Times New Roman" w:cs="Times New Roman"/>
          <w:u w:val="single" w:color="FFFFFF" w:themeColor="background1"/>
        </w:rPr>
        <w:t xml:space="preserve">prudential supervision </w:t>
      </w:r>
      <w:r w:rsidRPr="00A74B53">
        <w:rPr>
          <w:rFonts w:ascii="Times New Roman" w:hAnsi="Times New Roman" w:cs="Times New Roman"/>
          <w:u w:val="single" w:color="FFFFFF" w:themeColor="background1"/>
        </w:rPr>
        <w:t>for the Georgian payments market. Given that the payment service market is developing dramatically, support is urgently required in order to fill out the gaps and ensure the formation of a comprehensive, efficient and effective supervision system.</w:t>
      </w:r>
      <w:r>
        <w:rPr>
          <w:rFonts w:ascii="Times New Roman" w:hAnsi="Times New Roman" w:cs="Times New Roman"/>
          <w:u w:val="single" w:color="FFFFFF" w:themeColor="background1"/>
        </w:rPr>
        <w:t xml:space="preserve"> In order to correctly implement the legislative changes in practice, the NBG staff </w:t>
      </w:r>
      <w:r w:rsidR="00B61B9E">
        <w:rPr>
          <w:rFonts w:ascii="Times New Roman" w:hAnsi="Times New Roman" w:cs="Times New Roman"/>
          <w:u w:val="single" w:color="FFFFFF" w:themeColor="background1"/>
        </w:rPr>
        <w:t xml:space="preserve">should be </w:t>
      </w:r>
      <w:r w:rsidR="008C1476">
        <w:rPr>
          <w:rFonts w:ascii="Times New Roman" w:hAnsi="Times New Roman" w:cs="Times New Roman"/>
          <w:u w:val="single" w:color="FFFFFF" w:themeColor="background1"/>
        </w:rPr>
        <w:t>acquainted with</w:t>
      </w:r>
      <w:r>
        <w:rPr>
          <w:rFonts w:ascii="Times New Roman" w:hAnsi="Times New Roman" w:cs="Times New Roman"/>
          <w:u w:val="single" w:color="FFFFFF" w:themeColor="background1"/>
        </w:rPr>
        <w:t xml:space="preserve"> </w:t>
      </w:r>
      <w:r w:rsidR="008C1476">
        <w:rPr>
          <w:rFonts w:ascii="Times New Roman" w:hAnsi="Times New Roman" w:cs="Times New Roman"/>
          <w:u w:val="single" w:color="FFFFFF" w:themeColor="background1"/>
        </w:rPr>
        <w:t xml:space="preserve">working procedures of the </w:t>
      </w:r>
      <w:r>
        <w:rPr>
          <w:rFonts w:ascii="Times New Roman" w:hAnsi="Times New Roman" w:cs="Times New Roman"/>
          <w:u w:val="single" w:color="FFFFFF" w:themeColor="background1"/>
        </w:rPr>
        <w:t xml:space="preserve">relevant directives and regulations in the EU, e.g. it is </w:t>
      </w:r>
      <w:r w:rsidR="00B61B9E">
        <w:rPr>
          <w:rFonts w:ascii="Times New Roman" w:hAnsi="Times New Roman" w:cs="Times New Roman"/>
          <w:u w:val="single" w:color="FFFFFF" w:themeColor="background1"/>
        </w:rPr>
        <w:t>necessary</w:t>
      </w:r>
      <w:r>
        <w:rPr>
          <w:rFonts w:ascii="Times New Roman" w:hAnsi="Times New Roman" w:cs="Times New Roman"/>
          <w:u w:val="single" w:color="FFFFFF" w:themeColor="background1"/>
        </w:rPr>
        <w:t xml:space="preserve"> that the employees are trained and capable to conduct effective oversight of payment services (especially innovative payment instruments and channels like e-money, etc.) in line with relevant EU directives and regulations, therefor it would be also highly demanded to organize targeted study visit(s) and internship(s) in MS partner countries.</w:t>
      </w:r>
    </w:p>
    <w:p w:rsidR="00896A8B" w:rsidRPr="00A74B53" w:rsidRDefault="00896A8B" w:rsidP="00896A8B">
      <w:pPr>
        <w:tabs>
          <w:tab w:val="left" w:pos="720"/>
          <w:tab w:val="left" w:pos="1440"/>
          <w:tab w:val="left" w:pos="2160"/>
          <w:tab w:val="left" w:pos="2880"/>
          <w:tab w:val="left" w:pos="3600"/>
          <w:tab w:val="left" w:pos="4320"/>
          <w:tab w:val="left" w:pos="5040"/>
          <w:tab w:val="left" w:pos="5760"/>
          <w:tab w:val="left" w:pos="6461"/>
        </w:tabs>
        <w:spacing w:before="120" w:after="120"/>
        <w:jc w:val="both"/>
        <w:rPr>
          <w:rFonts w:ascii="Times New Roman" w:hAnsi="Times New Roman" w:cs="Times New Roman"/>
        </w:rPr>
      </w:pPr>
      <w:r w:rsidRPr="00A74B53">
        <w:rPr>
          <w:rFonts w:ascii="Times New Roman" w:hAnsi="Times New Roman" w:cs="Times New Roman"/>
          <w:b/>
        </w:rPr>
        <w:t xml:space="preserve">Result </w:t>
      </w:r>
      <w:r>
        <w:rPr>
          <w:rFonts w:ascii="Times New Roman" w:hAnsi="Times New Roman" w:cs="Times New Roman"/>
          <w:b/>
        </w:rPr>
        <w:t>2.1</w:t>
      </w:r>
      <w:r w:rsidRPr="00A74B53">
        <w:rPr>
          <w:rFonts w:ascii="Times New Roman" w:hAnsi="Times New Roman" w:cs="Times New Roman"/>
          <w:b/>
        </w:rPr>
        <w:t>:</w:t>
      </w:r>
      <w:r w:rsidRPr="00A74B53">
        <w:rPr>
          <w:rFonts w:ascii="Times New Roman" w:hAnsi="Times New Roman" w:cs="Times New Roman"/>
        </w:rPr>
        <w:t xml:space="preserve"> </w:t>
      </w:r>
      <w:r>
        <w:rPr>
          <w:rFonts w:ascii="Times New Roman" w:hAnsi="Times New Roman" w:cs="Times New Roman"/>
        </w:rPr>
        <w:t>Contribution to the revision of the l</w:t>
      </w:r>
      <w:r w:rsidRPr="00A74B53">
        <w:rPr>
          <w:rFonts w:ascii="Times New Roman" w:hAnsi="Times New Roman" w:cs="Times New Roman"/>
        </w:rPr>
        <w:t xml:space="preserve">egal </w:t>
      </w:r>
      <w:r>
        <w:rPr>
          <w:rFonts w:ascii="Times New Roman" w:hAnsi="Times New Roman" w:cs="Times New Roman"/>
        </w:rPr>
        <w:t xml:space="preserve">and implementation </w:t>
      </w:r>
      <w:r w:rsidRPr="00A74B53">
        <w:rPr>
          <w:rFonts w:ascii="Times New Roman" w:hAnsi="Times New Roman" w:cs="Times New Roman"/>
        </w:rPr>
        <w:t xml:space="preserve">framework on payment services in line with </w:t>
      </w:r>
      <w:r>
        <w:rPr>
          <w:rFonts w:ascii="Times New Roman" w:hAnsi="Times New Roman" w:cs="Times New Roman"/>
        </w:rPr>
        <w:t>relevant</w:t>
      </w:r>
      <w:r w:rsidRPr="00A74B53">
        <w:rPr>
          <w:rFonts w:ascii="Times New Roman" w:hAnsi="Times New Roman" w:cs="Times New Roman"/>
        </w:rPr>
        <w:t xml:space="preserve"> directives and </w:t>
      </w:r>
      <w:r>
        <w:rPr>
          <w:rFonts w:ascii="Times New Roman" w:hAnsi="Times New Roman" w:cs="Times New Roman"/>
        </w:rPr>
        <w:t>r</w:t>
      </w:r>
      <w:r w:rsidRPr="00A74B53">
        <w:rPr>
          <w:rFonts w:ascii="Times New Roman" w:hAnsi="Times New Roman" w:cs="Times New Roman"/>
        </w:rPr>
        <w:t>egulation</w:t>
      </w:r>
      <w:r>
        <w:rPr>
          <w:rFonts w:ascii="Times New Roman" w:hAnsi="Times New Roman" w:cs="Times New Roman"/>
        </w:rPr>
        <w:t xml:space="preserve">s </w:t>
      </w:r>
      <w:r w:rsidRPr="00EE03C1">
        <w:rPr>
          <w:rFonts w:ascii="Times New Roman" w:hAnsi="Times New Roman" w:cs="Times New Roman"/>
        </w:rPr>
        <w:t>and in accordance with an inclusive and evidence-based approach.</w:t>
      </w:r>
      <w:r w:rsidRPr="00A74B53">
        <w:rPr>
          <w:rFonts w:ascii="Times New Roman" w:hAnsi="Times New Roman" w:cs="Times New Roman"/>
        </w:rPr>
        <w:t xml:space="preserve"> </w:t>
      </w:r>
    </w:p>
    <w:p w:rsidR="00826F99" w:rsidRPr="00FB7749" w:rsidRDefault="00826F99"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
          <w:snapToGrid w:val="0"/>
          <w:color w:val="000000"/>
          <w:sz w:val="24"/>
          <w:szCs w:val="24"/>
        </w:rPr>
      </w:pPr>
    </w:p>
    <w:p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b/>
          <w:snapToGrid w:val="0"/>
          <w:color w:val="000000"/>
          <w:sz w:val="24"/>
          <w:szCs w:val="24"/>
        </w:rPr>
        <w:tab/>
        <w:t>(b)</w:t>
      </w:r>
      <w:r w:rsidRPr="00FB7749">
        <w:rPr>
          <w:rFonts w:ascii="Times New Roman" w:eastAsia="Times New Roman" w:hAnsi="Times New Roman" w:cs="Times New Roman"/>
          <w:b/>
          <w:snapToGrid w:val="0"/>
          <w:color w:val="000000"/>
          <w:sz w:val="24"/>
          <w:szCs w:val="24"/>
        </w:rPr>
        <w:tab/>
        <w:t xml:space="preserve">Geographical area: </w:t>
      </w:r>
      <w:r w:rsidR="00251044">
        <w:rPr>
          <w:rFonts w:ascii="Times New Roman" w:eastAsia="Times New Roman" w:hAnsi="Times New Roman" w:cs="Times New Roman"/>
          <w:b/>
          <w:snapToGrid w:val="0"/>
          <w:color w:val="000000"/>
          <w:sz w:val="24"/>
          <w:szCs w:val="24"/>
        </w:rPr>
        <w:t>Georgia</w:t>
      </w:r>
    </w:p>
    <w:p w:rsidR="00697E13" w:rsidRPr="00FB7749" w:rsidRDefault="00697E13"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b/>
          <w:snapToGrid w:val="0"/>
          <w:color w:val="000000"/>
          <w:sz w:val="24"/>
          <w:szCs w:val="24"/>
        </w:rPr>
        <w:tab/>
        <w:t>(c)</w:t>
      </w:r>
      <w:r w:rsidRPr="00FB7749">
        <w:rPr>
          <w:rFonts w:ascii="Times New Roman" w:eastAsia="Times New Roman" w:hAnsi="Times New Roman" w:cs="Times New Roman"/>
          <w:b/>
          <w:snapToGrid w:val="0"/>
          <w:color w:val="000000"/>
          <w:sz w:val="24"/>
          <w:szCs w:val="24"/>
        </w:rPr>
        <w:tab/>
        <w:t xml:space="preserve">Maximum project duration: </w:t>
      </w:r>
      <w:r w:rsidR="008F7C23" w:rsidRPr="008F7C23">
        <w:rPr>
          <w:rFonts w:ascii="Times New Roman" w:eastAsia="Times New Roman" w:hAnsi="Times New Roman" w:cs="Times New Roman"/>
          <w:b/>
          <w:snapToGrid w:val="0"/>
          <w:color w:val="000000"/>
          <w:sz w:val="24"/>
          <w:szCs w:val="24"/>
        </w:rPr>
        <w:t>2</w:t>
      </w:r>
      <w:r w:rsidR="00896A8B">
        <w:rPr>
          <w:rFonts w:ascii="Times New Roman" w:eastAsia="Times New Roman" w:hAnsi="Times New Roman" w:cs="Times New Roman"/>
          <w:b/>
          <w:snapToGrid w:val="0"/>
          <w:color w:val="000000"/>
          <w:sz w:val="24"/>
          <w:szCs w:val="24"/>
        </w:rPr>
        <w:t>7</w:t>
      </w:r>
      <w:r w:rsidR="008F7C23" w:rsidRPr="008F7C23">
        <w:rPr>
          <w:rFonts w:ascii="Times New Roman" w:eastAsia="Times New Roman" w:hAnsi="Times New Roman" w:cs="Times New Roman"/>
          <w:b/>
          <w:snapToGrid w:val="0"/>
          <w:color w:val="000000"/>
          <w:sz w:val="24"/>
          <w:szCs w:val="24"/>
        </w:rPr>
        <w:t xml:space="preserve"> months</w:t>
      </w:r>
      <w:r w:rsidR="008F7C23">
        <w:rPr>
          <w:rFonts w:ascii="Times New Roman" w:eastAsia="Times New Roman" w:hAnsi="Times New Roman" w:cs="Times New Roman"/>
          <w:b/>
          <w:snapToGrid w:val="0"/>
          <w:color w:val="000000"/>
          <w:sz w:val="24"/>
          <w:szCs w:val="24"/>
        </w:rPr>
        <w:t xml:space="preserve"> </w:t>
      </w:r>
      <w:r w:rsidR="00AA716B" w:rsidRPr="00AA716B">
        <w:rPr>
          <w:rFonts w:ascii="Times New Roman" w:eastAsia="Times New Roman" w:hAnsi="Times New Roman" w:cs="Times New Roman"/>
          <w:snapToGrid w:val="0"/>
          <w:color w:val="000000"/>
          <w:sz w:val="24"/>
          <w:szCs w:val="24"/>
        </w:rPr>
        <w:t>(implementation period 2</w:t>
      </w:r>
      <w:r w:rsidR="00896A8B">
        <w:rPr>
          <w:rFonts w:ascii="Times New Roman" w:eastAsia="Times New Roman" w:hAnsi="Times New Roman" w:cs="Times New Roman"/>
          <w:snapToGrid w:val="0"/>
          <w:color w:val="000000"/>
          <w:sz w:val="24"/>
          <w:szCs w:val="24"/>
        </w:rPr>
        <w:t>4</w:t>
      </w:r>
      <w:r w:rsidR="00AA716B" w:rsidRPr="00AA716B">
        <w:rPr>
          <w:rFonts w:ascii="Times New Roman" w:eastAsia="Times New Roman" w:hAnsi="Times New Roman" w:cs="Times New Roman"/>
          <w:snapToGrid w:val="0"/>
          <w:color w:val="000000"/>
          <w:sz w:val="24"/>
          <w:szCs w:val="24"/>
        </w:rPr>
        <w:t xml:space="preserve"> months + 3 months)</w:t>
      </w:r>
      <w:r w:rsidR="008F7C23" w:rsidRPr="00AA716B">
        <w:rPr>
          <w:rFonts w:ascii="Times New Roman" w:eastAsia="Times New Roman" w:hAnsi="Times New Roman" w:cs="Times New Roman"/>
          <w:snapToGrid w:val="0"/>
          <w:color w:val="000000"/>
          <w:sz w:val="24"/>
          <w:szCs w:val="24"/>
        </w:rPr>
        <w:t>.</w:t>
      </w:r>
    </w:p>
    <w:p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AB1DBF" w:rsidRPr="007338F0" w:rsidRDefault="00AB1DBF" w:rsidP="00AB1DBF">
      <w:pPr>
        <w:rPr>
          <w:rFonts w:ascii="Times New Roman" w:hAnsi="Times New Roman" w:cs="Times New Roman"/>
          <w:b/>
          <w:sz w:val="24"/>
          <w:szCs w:val="24"/>
          <w:lang w:eastAsia="en-GB"/>
        </w:rPr>
      </w:pPr>
      <w:bookmarkStart w:id="19" w:name="_Toc442374583"/>
      <w:bookmarkStart w:id="20" w:name="_Toc442375073"/>
      <w:bookmarkStart w:id="21" w:name="_Toc443320395"/>
      <w:bookmarkStart w:id="22" w:name="_Toc464460242"/>
      <w:bookmarkStart w:id="23" w:name="_Toc476063589"/>
      <w:bookmarkStart w:id="24" w:name="_Toc476068071"/>
      <w:r w:rsidRPr="007338F0">
        <w:rPr>
          <w:rFonts w:ascii="Times New Roman" w:hAnsi="Times New Roman" w:cs="Times New Roman"/>
          <w:b/>
          <w:sz w:val="24"/>
          <w:szCs w:val="24"/>
          <w:lang w:eastAsia="en-GB"/>
        </w:rPr>
        <w:t>4.</w:t>
      </w:r>
      <w:r w:rsidRPr="007338F0">
        <w:rPr>
          <w:rFonts w:ascii="Times New Roman" w:hAnsi="Times New Roman" w:cs="Times New Roman"/>
          <w:b/>
          <w:sz w:val="24"/>
          <w:szCs w:val="24"/>
          <w:lang w:eastAsia="en-GB"/>
        </w:rPr>
        <w:tab/>
        <w:t>Overall amount available for this Call for Proposals</w:t>
      </w:r>
      <w:bookmarkEnd w:id="19"/>
      <w:bookmarkEnd w:id="20"/>
      <w:bookmarkEnd w:id="21"/>
      <w:bookmarkEnd w:id="22"/>
      <w:bookmarkEnd w:id="23"/>
      <w:bookmarkEnd w:id="24"/>
      <w:r w:rsidRPr="007338F0">
        <w:rPr>
          <w:rFonts w:ascii="Times New Roman" w:hAnsi="Times New Roman" w:cs="Times New Roman"/>
          <w:b/>
          <w:sz w:val="24"/>
          <w:szCs w:val="24"/>
          <w:lang w:eastAsia="en-GB"/>
        </w:rPr>
        <w:t xml:space="preserve"> </w:t>
      </w:r>
    </w:p>
    <w:p w:rsidR="00AB1DBF" w:rsidRDefault="00AB1DBF" w:rsidP="00697E13">
      <w:pPr>
        <w:widowControl w:val="0"/>
        <w:spacing w:before="100" w:after="100" w:line="240" w:lineRule="auto"/>
        <w:ind w:right="360"/>
        <w:rPr>
          <w:rFonts w:ascii="Times New Roman" w:eastAsia="Times New Roman" w:hAnsi="Times New Roman" w:cs="Times New Roman"/>
          <w:bCs/>
          <w:snapToGrid w:val="0"/>
          <w:color w:val="000000"/>
          <w:sz w:val="24"/>
          <w:szCs w:val="24"/>
        </w:rPr>
      </w:pPr>
      <w:proofErr w:type="gramStart"/>
      <w:r w:rsidRPr="00FB7749">
        <w:rPr>
          <w:rFonts w:ascii="Times New Roman" w:eastAsia="Times New Roman" w:hAnsi="Times New Roman" w:cs="Times New Roman"/>
          <w:snapToGrid w:val="0"/>
          <w:color w:val="000000"/>
          <w:sz w:val="24"/>
          <w:szCs w:val="24"/>
        </w:rPr>
        <w:t xml:space="preserve">EUR </w:t>
      </w:r>
      <w:r w:rsidR="008F7C23" w:rsidRPr="008F7C23">
        <w:rPr>
          <w:rFonts w:ascii="Times New Roman" w:eastAsia="Times New Roman" w:hAnsi="Times New Roman" w:cs="Times New Roman"/>
          <w:bCs/>
          <w:snapToGrid w:val="0"/>
          <w:color w:val="000000"/>
          <w:sz w:val="24"/>
          <w:szCs w:val="24"/>
        </w:rPr>
        <w:t>1,</w:t>
      </w:r>
      <w:r w:rsidR="00896A8B">
        <w:rPr>
          <w:rFonts w:ascii="Times New Roman" w:eastAsia="Times New Roman" w:hAnsi="Times New Roman" w:cs="Times New Roman"/>
          <w:bCs/>
          <w:snapToGrid w:val="0"/>
          <w:color w:val="000000"/>
          <w:sz w:val="24"/>
          <w:szCs w:val="24"/>
        </w:rPr>
        <w:t>750</w:t>
      </w:r>
      <w:r w:rsidR="008F7C23" w:rsidRPr="008F7C23">
        <w:rPr>
          <w:rFonts w:ascii="Times New Roman" w:eastAsia="Times New Roman" w:hAnsi="Times New Roman" w:cs="Times New Roman"/>
          <w:bCs/>
          <w:snapToGrid w:val="0"/>
          <w:color w:val="000000"/>
          <w:sz w:val="24"/>
          <w:szCs w:val="24"/>
        </w:rPr>
        <w:t>,000</w:t>
      </w:r>
      <w:r w:rsidR="00697E13">
        <w:rPr>
          <w:rFonts w:ascii="Times New Roman" w:eastAsia="Times New Roman" w:hAnsi="Times New Roman" w:cs="Times New Roman"/>
          <w:bCs/>
          <w:snapToGrid w:val="0"/>
          <w:color w:val="000000"/>
          <w:sz w:val="24"/>
          <w:szCs w:val="24"/>
        </w:rPr>
        <w:t>.</w:t>
      </w:r>
      <w:proofErr w:type="gramEnd"/>
    </w:p>
    <w:p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339EFE7C" wp14:editId="75959FC1">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ELIGIBILITY CRITERIA</w:t>
      </w:r>
    </w:p>
    <w:p w:rsidR="00AB1DBF" w:rsidRPr="00FB7749" w:rsidRDefault="00AB1DBF" w:rsidP="00AB1DBF">
      <w:pPr>
        <w:spacing w:after="0" w:line="240" w:lineRule="auto"/>
        <w:ind w:left="284"/>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25" w:name="_Toc442374584"/>
      <w:bookmarkStart w:id="26" w:name="_Toc442375074"/>
      <w:bookmarkStart w:id="27" w:name="_Toc443320396"/>
      <w:bookmarkStart w:id="28" w:name="_Toc464460243"/>
      <w:bookmarkStart w:id="29" w:name="_Toc476063590"/>
      <w:bookmarkStart w:id="30" w:name="_Toc476068072"/>
      <w:r w:rsidRPr="007338F0">
        <w:rPr>
          <w:rFonts w:ascii="Times New Roman" w:hAnsi="Times New Roman" w:cs="Times New Roman"/>
          <w:b/>
          <w:sz w:val="24"/>
          <w:szCs w:val="24"/>
          <w:lang w:eastAsia="en-GB"/>
        </w:rPr>
        <w:t>5.</w:t>
      </w:r>
      <w:r w:rsidRPr="007338F0">
        <w:rPr>
          <w:rFonts w:ascii="Times New Roman" w:hAnsi="Times New Roman" w:cs="Times New Roman"/>
          <w:b/>
          <w:sz w:val="24"/>
          <w:szCs w:val="24"/>
          <w:lang w:eastAsia="en-GB"/>
        </w:rPr>
        <w:tab/>
        <w:t xml:space="preserve">Eligibility: Who may </w:t>
      </w:r>
      <w:bookmarkEnd w:id="25"/>
      <w:bookmarkEnd w:id="26"/>
      <w:bookmarkEnd w:id="27"/>
      <w:bookmarkEnd w:id="28"/>
      <w:r w:rsidRPr="007338F0">
        <w:rPr>
          <w:rFonts w:ascii="Times New Roman" w:hAnsi="Times New Roman" w:cs="Times New Roman"/>
          <w:b/>
          <w:sz w:val="24"/>
          <w:szCs w:val="24"/>
          <w:lang w:eastAsia="en-GB"/>
        </w:rPr>
        <w:t>apply?</w:t>
      </w:r>
      <w:bookmarkEnd w:id="29"/>
      <w:bookmarkEnd w:id="30"/>
    </w:p>
    <w:p w:rsidR="00AB1DBF" w:rsidRDefault="00AB1DBF" w:rsidP="00AB1DBF">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474F42" w:rsidRDefault="00FF265D" w:rsidP="00FF265D">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F265D">
        <w:rPr>
          <w:rFonts w:ascii="Times New Roman" w:eastAsia="Times New Roman" w:hAnsi="Times New Roman" w:cs="Times New Roman"/>
          <w:snapToGrid w:val="0"/>
          <w:color w:val="000000"/>
          <w:sz w:val="24"/>
          <w:szCs w:val="24"/>
        </w:rPr>
        <w:t xml:space="preserve">For applicants from the United Kingdom: Please be aware that eligibility criteria must be complied with for the entire duration of the grant. If the United Kingdom withdraws from the EU during the grant period without concluding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w:t>
      </w:r>
    </w:p>
    <w:p w:rsidR="00FF265D" w:rsidRPr="00FF265D" w:rsidRDefault="00FF265D" w:rsidP="00FF265D">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F265D">
        <w:rPr>
          <w:rFonts w:ascii="Times New Roman" w:eastAsia="Times New Roman" w:hAnsi="Times New Roman" w:cs="Times New Roman"/>
          <w:snapToGrid w:val="0"/>
          <w:color w:val="000000"/>
          <w:sz w:val="24"/>
          <w:szCs w:val="24"/>
        </w:rPr>
        <w:lastRenderedPageBreak/>
        <w:t>the basis of Article 12.2 of the General Conditions</w:t>
      </w:r>
      <w:r w:rsidRPr="00FF265D">
        <w:rPr>
          <w:rFonts w:ascii="Times New Roman" w:eastAsia="Times New Roman" w:hAnsi="Times New Roman" w:cs="Times New Roman"/>
          <w:snapToGrid w:val="0"/>
          <w:color w:val="000000"/>
          <w:sz w:val="24"/>
          <w:szCs w:val="24"/>
          <w:vertAlign w:val="superscript"/>
        </w:rPr>
        <w:footnoteReference w:customMarkFollows="1" w:id="2"/>
        <w:t>[1]</w:t>
      </w:r>
      <w:r w:rsidRPr="00FF265D">
        <w:rPr>
          <w:rFonts w:ascii="Times New Roman" w:eastAsia="Times New Roman" w:hAnsi="Times New Roman" w:cs="Times New Roman"/>
          <w:snapToGrid w:val="0"/>
          <w:color w:val="000000"/>
          <w:sz w:val="24"/>
          <w:szCs w:val="24"/>
        </w:rPr>
        <w:t xml:space="preserve"> to the grant agreement.</w:t>
      </w:r>
    </w:p>
    <w:p w:rsidR="00AB1DBF" w:rsidRPr="00FB7749" w:rsidRDefault="00AB1DBF" w:rsidP="00FF265D">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14FE23D7" wp14:editId="74B19DB5">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PROVISIONAL TIMETABLE</w:t>
      </w:r>
    </w:p>
    <w:p w:rsidR="00AB1DBF" w:rsidRPr="007338F0" w:rsidRDefault="00AB1DBF" w:rsidP="00AB1DBF">
      <w:pPr>
        <w:rPr>
          <w:rFonts w:ascii="Times New Roman" w:hAnsi="Times New Roman" w:cs="Times New Roman"/>
          <w:b/>
          <w:sz w:val="24"/>
          <w:szCs w:val="24"/>
          <w:lang w:eastAsia="en-GB"/>
        </w:rPr>
      </w:pPr>
      <w:bookmarkStart w:id="31" w:name="_Toc442374585"/>
      <w:bookmarkStart w:id="32" w:name="_Toc442375075"/>
      <w:bookmarkStart w:id="33" w:name="_Toc443320397"/>
      <w:bookmarkStart w:id="34" w:name="_Toc464460244"/>
      <w:bookmarkStart w:id="35" w:name="_Toc476063591"/>
      <w:bookmarkStart w:id="36" w:name="_Toc476068073"/>
      <w:r w:rsidRPr="007338F0">
        <w:rPr>
          <w:rFonts w:ascii="Times New Roman" w:hAnsi="Times New Roman" w:cs="Times New Roman"/>
          <w:b/>
          <w:sz w:val="24"/>
          <w:szCs w:val="24"/>
          <w:lang w:eastAsia="en-GB"/>
        </w:rPr>
        <w:t>6.</w:t>
      </w:r>
      <w:r w:rsidRPr="007338F0">
        <w:rPr>
          <w:rFonts w:ascii="Times New Roman" w:hAnsi="Times New Roman" w:cs="Times New Roman"/>
          <w:b/>
          <w:sz w:val="24"/>
          <w:szCs w:val="24"/>
          <w:lang w:eastAsia="en-GB"/>
        </w:rPr>
        <w:tab/>
        <w:t>Provisional notification date of results of the award process</w:t>
      </w:r>
      <w:r w:rsidRPr="006A1150">
        <w:rPr>
          <w:rFonts w:ascii="Times New Roman Bold" w:hAnsi="Times New Roman Bold" w:cs="Times New Roman"/>
          <w:b/>
          <w:sz w:val="24"/>
          <w:szCs w:val="24"/>
          <w:vertAlign w:val="superscript"/>
          <w:lang w:eastAsia="en-GB"/>
        </w:rPr>
        <w:footnoteReference w:id="3"/>
      </w:r>
      <w:bookmarkEnd w:id="31"/>
      <w:bookmarkEnd w:id="32"/>
      <w:bookmarkEnd w:id="33"/>
      <w:bookmarkEnd w:id="34"/>
      <w:bookmarkEnd w:id="35"/>
      <w:bookmarkEnd w:id="36"/>
    </w:p>
    <w:p w:rsidR="00AB1DBF" w:rsidRPr="00FB7749" w:rsidRDefault="00896A8B" w:rsidP="00AB1DBF">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DC5BB4">
        <w:rPr>
          <w:rFonts w:ascii="Times New Roman" w:eastAsia="Times New Roman" w:hAnsi="Times New Roman" w:cs="Times New Roman"/>
          <w:snapToGrid w:val="0"/>
          <w:color w:val="000000"/>
          <w:sz w:val="24"/>
          <w:szCs w:val="24"/>
        </w:rPr>
        <w:t>December</w:t>
      </w:r>
      <w:r w:rsidR="00AA716B" w:rsidRPr="00DC5BB4">
        <w:rPr>
          <w:rFonts w:ascii="Times New Roman" w:eastAsia="Times New Roman" w:hAnsi="Times New Roman" w:cs="Times New Roman"/>
          <w:snapToGrid w:val="0"/>
          <w:color w:val="000000"/>
          <w:sz w:val="24"/>
          <w:szCs w:val="24"/>
        </w:rPr>
        <w:t xml:space="preserve"> 2018</w:t>
      </w:r>
    </w:p>
    <w:p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3073C2DB" wp14:editId="640712F7">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SELECTION AND AWARD CRITERIA</w:t>
      </w:r>
    </w:p>
    <w:p w:rsidR="00AB1DBF" w:rsidRPr="00FB7749" w:rsidRDefault="00AB1DBF" w:rsidP="00AB1DBF">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7" w:name="_Toc442374586"/>
      <w:bookmarkStart w:id="38" w:name="_Toc442375076"/>
      <w:bookmarkStart w:id="39" w:name="_Toc443320398"/>
      <w:bookmarkStart w:id="40" w:name="_Toc464460245"/>
    </w:p>
    <w:p w:rsidR="00AB1DBF" w:rsidRPr="007338F0" w:rsidRDefault="00AB1DBF" w:rsidP="00AB1DBF">
      <w:pPr>
        <w:jc w:val="both"/>
        <w:rPr>
          <w:rFonts w:ascii="Times New Roman" w:hAnsi="Times New Roman" w:cs="Times New Roman"/>
          <w:b/>
          <w:sz w:val="24"/>
          <w:szCs w:val="24"/>
          <w:lang w:eastAsia="en-GB"/>
        </w:rPr>
      </w:pPr>
      <w:bookmarkStart w:id="41" w:name="_Toc476063592"/>
      <w:bookmarkStart w:id="42" w:name="_Toc476068074"/>
      <w:r w:rsidRPr="007338F0">
        <w:rPr>
          <w:rFonts w:ascii="Times New Roman" w:hAnsi="Times New Roman" w:cs="Times New Roman"/>
          <w:b/>
          <w:sz w:val="24"/>
          <w:szCs w:val="24"/>
          <w:lang w:eastAsia="en-GB"/>
        </w:rPr>
        <w:t>7.</w:t>
      </w:r>
      <w:r w:rsidRPr="007338F0">
        <w:rPr>
          <w:rFonts w:ascii="Times New Roman" w:hAnsi="Times New Roman" w:cs="Times New Roman"/>
          <w:b/>
          <w:sz w:val="24"/>
          <w:szCs w:val="24"/>
          <w:lang w:eastAsia="en-GB"/>
        </w:rPr>
        <w:tab/>
        <w:t>Selection and Award criteria</w:t>
      </w:r>
      <w:bookmarkEnd w:id="37"/>
      <w:bookmarkEnd w:id="38"/>
      <w:bookmarkEnd w:id="39"/>
      <w:bookmarkEnd w:id="40"/>
      <w:bookmarkEnd w:id="41"/>
      <w:bookmarkEnd w:id="42"/>
    </w:p>
    <w:p w:rsidR="00AB1DBF" w:rsidRPr="00AB1DBF" w:rsidRDefault="00AB1DBF" w:rsidP="00AB1DBF">
      <w:pPr>
        <w:widowControl w:val="0"/>
        <w:spacing w:before="100" w:after="100" w:line="240" w:lineRule="auto"/>
        <w:ind w:left="540" w:right="360"/>
        <w:jc w:val="both"/>
        <w:rPr>
          <w:rFonts w:ascii="Times New Roman" w:eastAsia="Calibri" w:hAnsi="Times New Roman" w:cs="Times New Roman"/>
          <w:b/>
          <w:color w:val="000000"/>
          <w:sz w:val="24"/>
          <w:szCs w:val="24"/>
        </w:rPr>
      </w:pPr>
      <w:r w:rsidRPr="00AB1DBF">
        <w:rPr>
          <w:rFonts w:ascii="Times New Roman" w:eastAsia="Calibri" w:hAnsi="Times New Roman" w:cs="Times New Roman"/>
          <w:b/>
          <w:color w:val="000000"/>
          <w:sz w:val="24"/>
          <w:szCs w:val="24"/>
        </w:rPr>
        <w:t xml:space="preserve">Selection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operational capacity of the </w:t>
      </w:r>
      <w:r w:rsidRPr="00AB1DBF">
        <w:rPr>
          <w:rFonts w:ascii="Times New Roman" w:eastAsia="Calibri" w:hAnsi="Times New Roman" w:cs="Times New Roman"/>
          <w:color w:val="000000"/>
          <w:sz w:val="24"/>
          <w:szCs w:val="24"/>
        </w:rPr>
        <w:t>Member State Project Leader, Resident Twinning Adviser and Component Leaders mentioned in the proposal: the assessment is expressed on a</w:t>
      </w:r>
      <w:r w:rsidRPr="00AB1DBF">
        <w:rPr>
          <w:rFonts w:ascii="Times New Roman" w:eastAsia="Calibri" w:hAnsi="Times New Roman" w:cs="Times New Roman"/>
          <w:b/>
          <w:color w:val="000000"/>
          <w:sz w:val="24"/>
          <w:szCs w:val="24"/>
        </w:rPr>
        <w:t xml:space="preserve"> Yes/No </w:t>
      </w:r>
      <w:r w:rsidRPr="00AB1DBF">
        <w:rPr>
          <w:rFonts w:ascii="Times New Roman" w:eastAsia="Calibri" w:hAnsi="Times New Roman" w:cs="Times New Roman"/>
          <w:color w:val="000000"/>
          <w:sz w:val="24"/>
          <w:szCs w:val="24"/>
        </w:rPr>
        <w:t>basis and a single negative evaluation of one criterion disqualifies the proposal.</w:t>
      </w:r>
      <w:r w:rsidRPr="00AB1DBF">
        <w:rPr>
          <w:rFonts w:ascii="Times New Roman" w:eastAsia="Calibri" w:hAnsi="Times New Roman" w:cs="Times New Roman"/>
          <w:b/>
          <w:color w:val="000000"/>
          <w:sz w:val="24"/>
          <w:szCs w:val="24"/>
        </w:rPr>
        <w:t xml:space="preserve"> </w:t>
      </w:r>
    </w:p>
    <w:p w:rsidR="00AB1DBF" w:rsidRPr="00AB1DBF" w:rsidRDefault="00AB1DBF" w:rsidP="00AB1DBF">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AB1DBF">
        <w:rPr>
          <w:rFonts w:ascii="Times New Roman" w:eastAsia="Calibri" w:hAnsi="Times New Roman" w:cs="Times New Roman"/>
          <w:b/>
          <w:color w:val="000000"/>
          <w:sz w:val="24"/>
          <w:szCs w:val="24"/>
        </w:rPr>
        <w:t xml:space="preserve">Award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merit of the main qualifying aspects </w:t>
      </w:r>
      <w:r w:rsidRPr="00AB1DBF">
        <w:rPr>
          <w:rFonts w:ascii="Times New Roman" w:eastAsia="Calibri" w:hAnsi="Times New Roman" w:cs="Times New Roman"/>
          <w:color w:val="000000"/>
          <w:sz w:val="24"/>
          <w:szCs w:val="24"/>
        </w:rPr>
        <w:t>of the proposal and are evaluated applying a</w:t>
      </w:r>
      <w:r w:rsidRPr="00AB1DBF">
        <w:rPr>
          <w:rFonts w:ascii="Times New Roman" w:eastAsia="Calibri" w:hAnsi="Times New Roman" w:cs="Times New Roman"/>
          <w:b/>
          <w:color w:val="000000"/>
          <w:sz w:val="24"/>
          <w:szCs w:val="24"/>
        </w:rPr>
        <w:t xml:space="preserve"> scoring system (1 to 5)</w:t>
      </w:r>
      <w:r w:rsidRPr="00AB1DBF">
        <w:rPr>
          <w:rFonts w:ascii="Times New Roman" w:eastAsia="Calibri" w:hAnsi="Times New Roman" w:cs="Times New Roman"/>
          <w:color w:val="000000"/>
          <w:sz w:val="24"/>
          <w:szCs w:val="24"/>
        </w:rPr>
        <w:t>:</w:t>
      </w:r>
    </w:p>
    <w:p w:rsidR="00AB1DBF" w:rsidRPr="00AB1DBF" w:rsidRDefault="00AB1DBF" w:rsidP="00AB1DBF">
      <w:pPr>
        <w:ind w:left="540"/>
        <w:jc w:val="both"/>
        <w:rPr>
          <w:rFonts w:ascii="Times New Roman" w:eastAsia="Calibri" w:hAnsi="Times New Roman" w:cs="Times New Roman"/>
          <w:color w:val="000000"/>
          <w:sz w:val="24"/>
          <w:szCs w:val="24"/>
        </w:rPr>
      </w:pPr>
      <w:r w:rsidRPr="00AB1DBF">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rsidR="00AB1DBF" w:rsidRP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 Evaluation Grid Twinning Selections.</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p>
    <w:p w:rsidR="00AB1DBF" w:rsidRPr="00FB7749" w:rsidRDefault="00AB1DBF" w:rsidP="00AB1DBF">
      <w:pPr>
        <w:spacing w:after="0" w:line="240" w:lineRule="auto"/>
        <w:jc w:val="both"/>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7E6F6B8A" wp14:editId="137D76DC">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rsidR="00AB1DBF" w:rsidRPr="00FB7749" w:rsidRDefault="00AB1DBF" w:rsidP="00697E13">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APPLICATION FORMALITIES</w:t>
      </w:r>
    </w:p>
    <w:p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43" w:name="_Toc442374587"/>
      <w:bookmarkStart w:id="44" w:name="_Toc442375077"/>
      <w:bookmarkStart w:id="45" w:name="_Toc443320399"/>
      <w:bookmarkStart w:id="46" w:name="_Toc464460246"/>
      <w:bookmarkStart w:id="47" w:name="_Toc476063593"/>
      <w:bookmarkStart w:id="48" w:name="_Toc476068075"/>
      <w:r w:rsidRPr="007338F0">
        <w:rPr>
          <w:rFonts w:ascii="Times New Roman" w:hAnsi="Times New Roman" w:cs="Times New Roman"/>
          <w:b/>
          <w:sz w:val="24"/>
          <w:szCs w:val="24"/>
          <w:lang w:eastAsia="en-GB"/>
        </w:rPr>
        <w:t>8.</w:t>
      </w:r>
      <w:r w:rsidRPr="007338F0">
        <w:rPr>
          <w:rFonts w:ascii="Times New Roman" w:hAnsi="Times New Roman" w:cs="Times New Roman"/>
          <w:b/>
          <w:sz w:val="24"/>
          <w:szCs w:val="24"/>
          <w:lang w:eastAsia="en-GB"/>
        </w:rPr>
        <w:tab/>
        <w:t>Twinning proposal and details to be provided</w:t>
      </w:r>
      <w:bookmarkEnd w:id="43"/>
      <w:bookmarkEnd w:id="44"/>
      <w:bookmarkEnd w:id="45"/>
      <w:bookmarkEnd w:id="46"/>
      <w:bookmarkEnd w:id="47"/>
      <w:bookmarkEnd w:id="48"/>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FB7749">
        <w:rPr>
          <w:rFonts w:ascii="Times New Roman" w:eastAsia="Times New Roman" w:hAnsi="Times New Roman" w:cs="Times New Roman"/>
          <w:b/>
          <w:snapToGrid w:val="0"/>
          <w:color w:val="000000"/>
          <w:sz w:val="24"/>
          <w:szCs w:val="24"/>
        </w:rPr>
        <w:t>EU Member States</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following the instructions of the </w:t>
      </w:r>
      <w:r w:rsidRPr="00FB7749">
        <w:rPr>
          <w:rFonts w:ascii="Times New Roman" w:eastAsia="Times New Roman" w:hAnsi="Times New Roman" w:cs="Times New Roman"/>
          <w:b/>
          <w:snapToGrid w:val="0"/>
          <w:color w:val="000000"/>
          <w:sz w:val="24"/>
          <w:szCs w:val="24"/>
        </w:rPr>
        <w:t>Twinning Manual</w:t>
      </w:r>
      <w:r w:rsidRPr="00FB7749">
        <w:rPr>
          <w:rFonts w:ascii="Times New Roman" w:eastAsia="Times New Roman" w:hAnsi="Times New Roman" w:cs="Times New Roman"/>
          <w:snapToGrid w:val="0"/>
          <w:color w:val="000000"/>
          <w:sz w:val="24"/>
          <w:szCs w:val="24"/>
        </w:rPr>
        <w:t xml:space="preserve"> which must be strictly observed (including the use of the template).</w:t>
      </w:r>
    </w:p>
    <w:p w:rsid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one Twinning proposal for Member State can be submitted by the </w:t>
      </w:r>
      <w:r w:rsidRPr="00FB7749">
        <w:rPr>
          <w:rFonts w:ascii="Times New Roman" w:eastAsia="Times New Roman" w:hAnsi="Times New Roman" w:cs="Times New Roman"/>
          <w:b/>
          <w:snapToGrid w:val="0"/>
          <w:color w:val="000000"/>
          <w:sz w:val="24"/>
          <w:szCs w:val="24"/>
        </w:rPr>
        <w:t>Member State</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to the Contracting Authority within the deadline for applications. </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 xml:space="preserve">The MS application should be submitted to the Contracting Authority via the email </w:t>
      </w:r>
      <w:r w:rsidRPr="00AB1DBF">
        <w:rPr>
          <w:rFonts w:ascii="Times New Roman" w:eastAsia="Times New Roman" w:hAnsi="Times New Roman" w:cs="Times New Roman"/>
          <w:snapToGrid w:val="0"/>
          <w:color w:val="000000"/>
          <w:sz w:val="24"/>
          <w:szCs w:val="24"/>
        </w:rPr>
        <w:lastRenderedPageBreak/>
        <w:t>address of Member State National Contact Points for Twinning</w:t>
      </w:r>
    </w:p>
    <w:p w:rsidR="00AB1DBF"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49" w:name="_Toc442374588"/>
      <w:bookmarkStart w:id="50" w:name="_Toc442375078"/>
      <w:bookmarkStart w:id="51" w:name="_Toc443320400"/>
      <w:bookmarkStart w:id="52" w:name="_Toc464460247"/>
      <w:bookmarkStart w:id="53" w:name="_Toc476063594"/>
      <w:bookmarkStart w:id="54" w:name="_Toc476068076"/>
      <w:r w:rsidRPr="007338F0">
        <w:rPr>
          <w:rFonts w:ascii="Times New Roman" w:hAnsi="Times New Roman" w:cs="Times New Roman"/>
          <w:b/>
          <w:sz w:val="24"/>
          <w:szCs w:val="24"/>
          <w:lang w:eastAsia="en-GB"/>
        </w:rPr>
        <w:t>9.</w:t>
      </w:r>
      <w:r w:rsidRPr="007338F0">
        <w:rPr>
          <w:rFonts w:ascii="Times New Roman" w:hAnsi="Times New Roman" w:cs="Times New Roman"/>
          <w:b/>
          <w:sz w:val="24"/>
          <w:szCs w:val="24"/>
          <w:lang w:eastAsia="en-GB"/>
        </w:rPr>
        <w:tab/>
        <w:t>Deadline for applications</w:t>
      </w:r>
      <w:bookmarkEnd w:id="49"/>
      <w:bookmarkEnd w:id="50"/>
      <w:bookmarkEnd w:id="51"/>
      <w:bookmarkEnd w:id="52"/>
      <w:bookmarkEnd w:id="53"/>
      <w:bookmarkEnd w:id="54"/>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FB7749">
        <w:rPr>
          <w:rFonts w:ascii="Times New Roman" w:eastAsia="Times New Roman" w:hAnsi="Times New Roman" w:cs="Times New Roman"/>
          <w:snapToGrid w:val="0"/>
          <w:color w:val="000000"/>
          <w:sz w:val="24"/>
          <w:szCs w:val="24"/>
        </w:rPr>
        <w:t xml:space="preserve">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National Contact Points to the Contracting Authority: </w:t>
      </w:r>
      <w:r w:rsidR="00DC5BB4" w:rsidRPr="00DC5BB4">
        <w:rPr>
          <w:rFonts w:ascii="Times New Roman" w:eastAsia="Times New Roman" w:hAnsi="Times New Roman" w:cs="Times New Roman"/>
          <w:snapToGrid w:val="0"/>
          <w:color w:val="000000"/>
          <w:sz w:val="24"/>
          <w:szCs w:val="24"/>
        </w:rPr>
        <w:t>1</w:t>
      </w:r>
      <w:r w:rsidR="00896A8B" w:rsidRPr="00DC5BB4">
        <w:rPr>
          <w:rFonts w:ascii="Times New Roman" w:eastAsia="Times New Roman" w:hAnsi="Times New Roman" w:cs="Times New Roman"/>
          <w:b/>
          <w:snapToGrid w:val="0"/>
          <w:color w:val="000000"/>
          <w:sz w:val="24"/>
          <w:szCs w:val="24"/>
        </w:rPr>
        <w:t>6 November 2018</w:t>
      </w:r>
      <w:r w:rsidR="00AA716B" w:rsidRPr="00DC5BB4">
        <w:rPr>
          <w:rFonts w:ascii="Times New Roman" w:eastAsia="Times New Roman" w:hAnsi="Times New Roman" w:cs="Times New Roman"/>
          <w:snapToGrid w:val="0"/>
          <w:color w:val="000000"/>
          <w:sz w:val="24"/>
          <w:szCs w:val="24"/>
        </w:rPr>
        <w:t>, 14:00 Brussels time</w:t>
      </w:r>
      <w:r w:rsidR="00AA716B">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sz w:val="24"/>
          <w:szCs w:val="24"/>
        </w:rPr>
        <w:t xml:space="preserve"> </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Any application </w:t>
      </w:r>
      <w:r w:rsidRPr="00FB7749">
        <w:rPr>
          <w:rFonts w:ascii="Times New Roman" w:eastAsia="Times New Roman" w:hAnsi="Times New Roman" w:cs="Times New Roman"/>
          <w:snapToGrid w:val="0"/>
          <w:color w:val="000000"/>
          <w:sz w:val="24"/>
          <w:szCs w:val="24"/>
          <w:u w:val="single"/>
        </w:rPr>
        <w:t>received</w:t>
      </w:r>
      <w:r w:rsidRPr="00FB7749">
        <w:rPr>
          <w:rFonts w:ascii="Times New Roman" w:eastAsia="Times New Roman" w:hAnsi="Times New Roman" w:cs="Times New Roman"/>
          <w:snapToGrid w:val="0"/>
          <w:color w:val="000000"/>
          <w:sz w:val="24"/>
          <w:szCs w:val="24"/>
        </w:rPr>
        <w:t xml:space="preserve"> by the Contracting Authority after this deadline will not be considered.</w:t>
      </w:r>
    </w:p>
    <w:p w:rsidR="00AB1DBF" w:rsidRPr="00FB7749"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55" w:name="_Toc442374589"/>
      <w:bookmarkStart w:id="56" w:name="_Toc442375079"/>
      <w:bookmarkStart w:id="57" w:name="_Toc443320401"/>
      <w:bookmarkStart w:id="58" w:name="_Toc464460248"/>
      <w:bookmarkStart w:id="59" w:name="_Toc476063595"/>
      <w:bookmarkStart w:id="60" w:name="_Toc476068077"/>
      <w:r w:rsidRPr="007338F0">
        <w:rPr>
          <w:rFonts w:ascii="Times New Roman" w:hAnsi="Times New Roman" w:cs="Times New Roman"/>
          <w:b/>
          <w:sz w:val="24"/>
          <w:szCs w:val="24"/>
          <w:lang w:eastAsia="en-GB"/>
        </w:rPr>
        <w:t>10.</w:t>
      </w:r>
      <w:r w:rsidRPr="007338F0">
        <w:rPr>
          <w:rFonts w:ascii="Times New Roman" w:hAnsi="Times New Roman" w:cs="Times New Roman"/>
          <w:b/>
          <w:sz w:val="24"/>
          <w:szCs w:val="24"/>
          <w:lang w:eastAsia="en-GB"/>
        </w:rPr>
        <w:tab/>
        <w:t>Detailed information</w:t>
      </w:r>
      <w:bookmarkEnd w:id="55"/>
      <w:bookmarkEnd w:id="56"/>
      <w:bookmarkEnd w:id="57"/>
      <w:bookmarkEnd w:id="58"/>
      <w:bookmarkEnd w:id="59"/>
      <w:bookmarkEnd w:id="60"/>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Detailed information on this Call for Proposals is contained in the Twinning Manual and</w:t>
      </w:r>
      <w:r w:rsidR="0096277E">
        <w:rPr>
          <w:rFonts w:ascii="Times New Roman" w:eastAsia="Times New Roman" w:hAnsi="Times New Roman" w:cs="Times New Roman"/>
          <w:snapToGrid w:val="0"/>
          <w:color w:val="000000"/>
          <w:sz w:val="24"/>
          <w:szCs w:val="24"/>
        </w:rPr>
        <w:t xml:space="preserve"> in</w:t>
      </w:r>
      <w:r w:rsidRPr="00FB7749">
        <w:rPr>
          <w:rFonts w:ascii="Times New Roman" w:eastAsia="Times New Roman" w:hAnsi="Times New Roman" w:cs="Times New Roman"/>
          <w:snapToGrid w:val="0"/>
          <w:color w:val="000000"/>
          <w:sz w:val="24"/>
          <w:szCs w:val="24"/>
        </w:rPr>
        <w:t xml:space="preserve"> the specific project Twinning Fiche</w:t>
      </w:r>
      <w:r w:rsidR="0096277E">
        <w:rPr>
          <w:rFonts w:ascii="Times New Roman" w:eastAsia="Times New Roman" w:hAnsi="Times New Roman" w:cs="Times New Roman"/>
          <w:snapToGrid w:val="0"/>
          <w:color w:val="000000"/>
          <w:sz w:val="24"/>
          <w:szCs w:val="24"/>
        </w:rPr>
        <w:t>, which is</w:t>
      </w:r>
      <w:r w:rsidRPr="00FB7749">
        <w:rPr>
          <w:rFonts w:ascii="Times New Roman" w:eastAsia="Times New Roman" w:hAnsi="Times New Roman" w:cs="Times New Roman"/>
          <w:snapToGrid w:val="0"/>
          <w:color w:val="000000"/>
          <w:sz w:val="24"/>
          <w:szCs w:val="24"/>
        </w:rPr>
        <w:t xml:space="preserve"> available at the European Union Member States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w:t>
      </w:r>
    </w:p>
    <w:p w:rsidR="00AB1DBF" w:rsidRDefault="00AB1DBF" w:rsidP="00697E13">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w:t>
      </w:r>
      <w:r w:rsidRPr="00DC5BB4">
        <w:rPr>
          <w:rFonts w:ascii="Times New Roman" w:eastAsia="Times New Roman" w:hAnsi="Times New Roman" w:cs="Times New Roman"/>
          <w:snapToGrid w:val="0"/>
          <w:color w:val="000000"/>
          <w:sz w:val="24"/>
          <w:szCs w:val="24"/>
          <w:u w:val="single"/>
        </w:rPr>
        <w:t>tentative</w:t>
      </w:r>
      <w:r w:rsidRPr="00FB7749">
        <w:rPr>
          <w:rFonts w:ascii="Times New Roman" w:eastAsia="Times New Roman" w:hAnsi="Times New Roman" w:cs="Times New Roman"/>
          <w:snapToGrid w:val="0"/>
          <w:color w:val="000000"/>
          <w:sz w:val="24"/>
          <w:szCs w:val="24"/>
        </w:rPr>
        <w:t xml:space="preserve"> date(s) envisaged for starting the evaluation committee meetings </w:t>
      </w:r>
      <w:r w:rsidRPr="00DC5BB4">
        <w:rPr>
          <w:rFonts w:ascii="Times New Roman" w:eastAsia="Times New Roman" w:hAnsi="Times New Roman" w:cs="Times New Roman"/>
          <w:snapToGrid w:val="0"/>
          <w:color w:val="000000"/>
          <w:sz w:val="24"/>
          <w:szCs w:val="24"/>
        </w:rPr>
        <w:t xml:space="preserve">is: </w:t>
      </w:r>
      <w:r w:rsidR="00D90CD2" w:rsidRPr="00DC5BB4">
        <w:rPr>
          <w:rFonts w:ascii="Times New Roman" w:eastAsia="Times New Roman" w:hAnsi="Times New Roman" w:cs="Times New Roman"/>
          <w:b/>
          <w:snapToGrid w:val="0"/>
          <w:color w:val="000000"/>
          <w:sz w:val="24"/>
          <w:szCs w:val="24"/>
        </w:rPr>
        <w:t>2</w:t>
      </w:r>
      <w:r w:rsidR="00DC5BB4" w:rsidRPr="00DC5BB4">
        <w:rPr>
          <w:rFonts w:ascii="Times New Roman" w:eastAsia="Times New Roman" w:hAnsi="Times New Roman" w:cs="Times New Roman"/>
          <w:b/>
          <w:snapToGrid w:val="0"/>
          <w:color w:val="000000"/>
          <w:sz w:val="24"/>
          <w:szCs w:val="24"/>
        </w:rPr>
        <w:t>8</w:t>
      </w:r>
      <w:r w:rsidR="00AA716B" w:rsidRPr="00DC5BB4">
        <w:rPr>
          <w:rFonts w:ascii="Times New Roman" w:eastAsia="Times New Roman" w:hAnsi="Times New Roman" w:cs="Times New Roman"/>
          <w:b/>
          <w:snapToGrid w:val="0"/>
          <w:color w:val="000000"/>
          <w:sz w:val="24"/>
          <w:szCs w:val="24"/>
        </w:rPr>
        <w:t xml:space="preserve"> </w:t>
      </w:r>
      <w:r w:rsidR="000C7BD5" w:rsidRPr="00DC5BB4">
        <w:rPr>
          <w:rFonts w:ascii="Times New Roman" w:eastAsia="Times New Roman" w:hAnsi="Times New Roman" w:cs="Times New Roman"/>
          <w:b/>
          <w:snapToGrid w:val="0"/>
          <w:color w:val="000000"/>
          <w:sz w:val="24"/>
          <w:szCs w:val="24"/>
        </w:rPr>
        <w:t>November</w:t>
      </w:r>
      <w:r w:rsidR="00AA716B" w:rsidRPr="00DC5BB4">
        <w:rPr>
          <w:rFonts w:ascii="Times New Roman" w:eastAsia="Times New Roman" w:hAnsi="Times New Roman" w:cs="Times New Roman"/>
          <w:b/>
          <w:snapToGrid w:val="0"/>
          <w:color w:val="000000"/>
          <w:sz w:val="24"/>
          <w:szCs w:val="24"/>
        </w:rPr>
        <w:t xml:space="preserve"> 2018</w:t>
      </w:r>
      <w:r w:rsidR="00697E13" w:rsidRPr="00DC5BB4">
        <w:rPr>
          <w:rFonts w:ascii="Times New Roman" w:eastAsia="Times New Roman" w:hAnsi="Times New Roman" w:cs="Times New Roman"/>
          <w:snapToGrid w:val="0"/>
          <w:color w:val="000000"/>
          <w:sz w:val="24"/>
          <w:szCs w:val="24"/>
        </w:rPr>
        <w:t>.</w:t>
      </w:r>
      <w:r w:rsidR="00697E13">
        <w:rPr>
          <w:rFonts w:ascii="Times New Roman" w:eastAsia="Times New Roman" w:hAnsi="Times New Roman" w:cs="Times New Roman"/>
          <w:snapToGrid w:val="0"/>
          <w:color w:val="000000"/>
          <w:sz w:val="24"/>
          <w:szCs w:val="24"/>
        </w:rPr>
        <w:t xml:space="preserve"> </w:t>
      </w:r>
    </w:p>
    <w:p w:rsidR="0096277E" w:rsidRDefault="0096277E" w:rsidP="00527BF0">
      <w:pPr>
        <w:ind w:left="540" w:right="283"/>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For the selection meeting t</w:t>
      </w:r>
      <w:r w:rsidRPr="00FB7749">
        <w:rPr>
          <w:rFonts w:ascii="Times New Roman" w:eastAsia="Times New Roman" w:hAnsi="Times New Roman" w:cs="Times New Roman"/>
          <w:snapToGrid w:val="0"/>
          <w:color w:val="000000"/>
          <w:sz w:val="24"/>
          <w:szCs w:val="24"/>
        </w:rPr>
        <w:t>he Member State delegation should always include</w:t>
      </w:r>
      <w:r>
        <w:rPr>
          <w:rFonts w:ascii="Times New Roman" w:eastAsia="Times New Roman" w:hAnsi="Times New Roman" w:cs="Times New Roman"/>
          <w:snapToGrid w:val="0"/>
          <w:color w:val="000000"/>
          <w:sz w:val="24"/>
          <w:szCs w:val="24"/>
        </w:rPr>
        <w:t xml:space="preserve"> at least</w:t>
      </w:r>
      <w:r w:rsidRPr="00FB7749">
        <w:rPr>
          <w:rFonts w:ascii="Times New Roman" w:eastAsia="Times New Roman" w:hAnsi="Times New Roman" w:cs="Times New Roman"/>
          <w:snapToGrid w:val="0"/>
          <w:color w:val="000000"/>
          <w:sz w:val="24"/>
          <w:szCs w:val="24"/>
        </w:rPr>
        <w:t xml:space="preserve"> the proposed PL and RTA(s). </w:t>
      </w:r>
    </w:p>
    <w:p w:rsidR="0096277E" w:rsidRPr="00FB7749" w:rsidRDefault="0096277E"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bookmarkStart w:id="61" w:name="_GoBack"/>
      <w:bookmarkEnd w:id="61"/>
    </w:p>
    <w:p w:rsidR="00F722E0" w:rsidRDefault="00DC5BB4"/>
    <w:sectPr w:rsidR="00F722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DBF" w:rsidRDefault="00AB1DBF" w:rsidP="00AB1DBF">
      <w:pPr>
        <w:spacing w:after="0" w:line="240" w:lineRule="auto"/>
      </w:pPr>
      <w:r>
        <w:separator/>
      </w:r>
    </w:p>
  </w:endnote>
  <w:endnote w:type="continuationSeparator" w:id="0">
    <w:p w:rsidR="00AB1DBF" w:rsidRDefault="00AB1DBF" w:rsidP="00AB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DBF" w:rsidRDefault="00AB1DBF" w:rsidP="00AB1DBF">
      <w:pPr>
        <w:spacing w:after="0" w:line="240" w:lineRule="auto"/>
      </w:pPr>
      <w:r>
        <w:separator/>
      </w:r>
    </w:p>
  </w:footnote>
  <w:footnote w:type="continuationSeparator" w:id="0">
    <w:p w:rsidR="00AB1DBF" w:rsidRDefault="00AB1DBF" w:rsidP="00AB1DBF">
      <w:pPr>
        <w:spacing w:after="0" w:line="240" w:lineRule="auto"/>
      </w:pPr>
      <w:r>
        <w:continuationSeparator/>
      </w:r>
    </w:p>
  </w:footnote>
  <w:footnote w:id="1">
    <w:p w:rsidR="00B356B2" w:rsidRPr="00503A94" w:rsidRDefault="00B356B2" w:rsidP="00B356B2">
      <w:pPr>
        <w:pStyle w:val="FootnoteText"/>
        <w:rPr>
          <w:sz w:val="18"/>
          <w:szCs w:val="18"/>
        </w:rPr>
      </w:pPr>
      <w:r w:rsidRPr="00503A94">
        <w:rPr>
          <w:rStyle w:val="FootnoteReference"/>
          <w:sz w:val="18"/>
          <w:szCs w:val="18"/>
        </w:rPr>
        <w:footnoteRef/>
      </w:r>
      <w:r w:rsidRPr="00503A94">
        <w:rPr>
          <w:sz w:val="18"/>
          <w:szCs w:val="18"/>
        </w:rPr>
        <w:t xml:space="preserve"> </w:t>
      </w:r>
      <w:r>
        <w:rPr>
          <w:sz w:val="18"/>
          <w:szCs w:val="18"/>
        </w:rPr>
        <w:t xml:space="preserve">For the purposes of this fiche the </w:t>
      </w:r>
      <w:r w:rsidRPr="00503A94">
        <w:rPr>
          <w:sz w:val="18"/>
          <w:szCs w:val="18"/>
        </w:rPr>
        <w:t>CRD IV Package consists of Directive 2013/36/EU on access to the activity of credit institutions and the prudential supervision of credit institutions and investment firms and Regulation 575/2013 on prudential requirements for credit institutions and investment firms</w:t>
      </w:r>
      <w:r>
        <w:rPr>
          <w:sz w:val="18"/>
          <w:szCs w:val="18"/>
        </w:rPr>
        <w:t xml:space="preserve"> and if necessary their supplementary Regulatory Technical Standards</w:t>
      </w:r>
      <w:r w:rsidRPr="00503A94">
        <w:rPr>
          <w:sz w:val="18"/>
          <w:szCs w:val="18"/>
        </w:rPr>
        <w:t>.</w:t>
      </w:r>
      <w:r>
        <w:rPr>
          <w:sz w:val="18"/>
          <w:szCs w:val="18"/>
        </w:rPr>
        <w:t xml:space="preserve"> </w:t>
      </w:r>
    </w:p>
  </w:footnote>
  <w:footnote w:id="2">
    <w:p w:rsidR="00FF265D" w:rsidRDefault="00FF265D" w:rsidP="00FF265D">
      <w:pPr>
        <w:pStyle w:val="FootnoteText"/>
        <w:rPr>
          <w:lang w:val="en-US"/>
        </w:rPr>
      </w:pPr>
      <w:r>
        <w:rPr>
          <w:rStyle w:val="FootnoteReference"/>
          <w:lang w:val="en-US"/>
        </w:rPr>
        <w:t>[1]</w:t>
      </w:r>
      <w:r>
        <w:rPr>
          <w:lang w:val="en-US"/>
        </w:rPr>
        <w:t xml:space="preserve"> Twinning manual Annex A2</w:t>
      </w:r>
    </w:p>
  </w:footnote>
  <w:footnote w:id="3">
    <w:p w:rsidR="00AB1DBF" w:rsidRDefault="00AB1DBF" w:rsidP="00AB1DBF">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section 2.4.3.</w:t>
      </w:r>
      <w:r w:rsidRPr="003D59A2">
        <w:rPr>
          <w:sz w:val="18"/>
        </w:rPr>
        <w:t>of the Twi</w:t>
      </w:r>
      <w:r>
        <w:rPr>
          <w:sz w:val="18"/>
        </w:rPr>
        <w:t>n</w:t>
      </w:r>
      <w:r w:rsidRPr="003D59A2">
        <w:rPr>
          <w:sz w:val="18"/>
        </w:rPr>
        <w:t>ning Manual</w:t>
      </w:r>
      <w:r>
        <w:rPr>
          <w:sz w:val="18"/>
        </w:rPr>
        <w:t>.</w:t>
      </w:r>
    </w:p>
    <w:p w:rsidR="00AB1DBF" w:rsidRPr="00651B29" w:rsidRDefault="00AB1DBF" w:rsidP="00AB1DBF">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20428"/>
    <w:multiLevelType w:val="hybridMultilevel"/>
    <w:tmpl w:val="77E05EA4"/>
    <w:lvl w:ilvl="0" w:tplc="48C03A48">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F2058E7"/>
    <w:multiLevelType w:val="hybridMultilevel"/>
    <w:tmpl w:val="B9BE5F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AF64B2D"/>
    <w:multiLevelType w:val="hybridMultilevel"/>
    <w:tmpl w:val="701C7170"/>
    <w:lvl w:ilvl="0" w:tplc="7354E042">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0C22D74"/>
    <w:multiLevelType w:val="hybridMultilevel"/>
    <w:tmpl w:val="CDEC879C"/>
    <w:lvl w:ilvl="0" w:tplc="04090001">
      <w:start w:val="1"/>
      <w:numFmt w:val="bullet"/>
      <w:lvlText w:val=""/>
      <w:lvlJc w:val="left"/>
      <w:pPr>
        <w:ind w:left="1455" w:hanging="360"/>
      </w:pPr>
      <w:rPr>
        <w:rFonts w:ascii="Symbol" w:hAnsi="Symbol" w:hint="default"/>
      </w:rPr>
    </w:lvl>
    <w:lvl w:ilvl="1" w:tplc="08090003">
      <w:start w:val="1"/>
      <w:numFmt w:val="bullet"/>
      <w:lvlText w:val="o"/>
      <w:lvlJc w:val="left"/>
      <w:pPr>
        <w:ind w:left="2175" w:hanging="360"/>
      </w:pPr>
      <w:rPr>
        <w:rFonts w:ascii="Courier New" w:hAnsi="Courier New" w:cs="Courier New" w:hint="default"/>
      </w:rPr>
    </w:lvl>
    <w:lvl w:ilvl="2" w:tplc="08090005">
      <w:start w:val="1"/>
      <w:numFmt w:val="bullet"/>
      <w:lvlText w:val=""/>
      <w:lvlJc w:val="left"/>
      <w:pPr>
        <w:ind w:left="2895" w:hanging="360"/>
      </w:pPr>
      <w:rPr>
        <w:rFonts w:ascii="Wingdings" w:hAnsi="Wingdings" w:hint="default"/>
      </w:rPr>
    </w:lvl>
    <w:lvl w:ilvl="3" w:tplc="08090001">
      <w:start w:val="1"/>
      <w:numFmt w:val="bullet"/>
      <w:lvlText w:val=""/>
      <w:lvlJc w:val="left"/>
      <w:pPr>
        <w:ind w:left="3615" w:hanging="360"/>
      </w:pPr>
      <w:rPr>
        <w:rFonts w:ascii="Symbol" w:hAnsi="Symbol" w:hint="default"/>
      </w:rPr>
    </w:lvl>
    <w:lvl w:ilvl="4" w:tplc="08090003">
      <w:start w:val="1"/>
      <w:numFmt w:val="bullet"/>
      <w:lvlText w:val="o"/>
      <w:lvlJc w:val="left"/>
      <w:pPr>
        <w:ind w:left="4335" w:hanging="360"/>
      </w:pPr>
      <w:rPr>
        <w:rFonts w:ascii="Courier New" w:hAnsi="Courier New" w:cs="Courier New" w:hint="default"/>
      </w:rPr>
    </w:lvl>
    <w:lvl w:ilvl="5" w:tplc="08090005">
      <w:start w:val="1"/>
      <w:numFmt w:val="bullet"/>
      <w:lvlText w:val=""/>
      <w:lvlJc w:val="left"/>
      <w:pPr>
        <w:ind w:left="5055" w:hanging="360"/>
      </w:pPr>
      <w:rPr>
        <w:rFonts w:ascii="Wingdings" w:hAnsi="Wingdings" w:hint="default"/>
      </w:rPr>
    </w:lvl>
    <w:lvl w:ilvl="6" w:tplc="08090001">
      <w:start w:val="1"/>
      <w:numFmt w:val="bullet"/>
      <w:lvlText w:val=""/>
      <w:lvlJc w:val="left"/>
      <w:pPr>
        <w:ind w:left="5775" w:hanging="360"/>
      </w:pPr>
      <w:rPr>
        <w:rFonts w:ascii="Symbol" w:hAnsi="Symbol" w:hint="default"/>
      </w:rPr>
    </w:lvl>
    <w:lvl w:ilvl="7" w:tplc="08090003">
      <w:start w:val="1"/>
      <w:numFmt w:val="bullet"/>
      <w:lvlText w:val="o"/>
      <w:lvlJc w:val="left"/>
      <w:pPr>
        <w:ind w:left="6495" w:hanging="360"/>
      </w:pPr>
      <w:rPr>
        <w:rFonts w:ascii="Courier New" w:hAnsi="Courier New" w:cs="Courier New" w:hint="default"/>
      </w:rPr>
    </w:lvl>
    <w:lvl w:ilvl="8" w:tplc="08090005">
      <w:start w:val="1"/>
      <w:numFmt w:val="bullet"/>
      <w:lvlText w:val=""/>
      <w:lvlJc w:val="left"/>
      <w:pPr>
        <w:ind w:left="7215" w:hanging="360"/>
      </w:pPr>
      <w:rPr>
        <w:rFonts w:ascii="Wingdings" w:hAnsi="Wingdings" w:hint="default"/>
      </w:rPr>
    </w:lvl>
  </w:abstractNum>
  <w:abstractNum w:abstractNumId="4">
    <w:nsid w:val="556B2031"/>
    <w:multiLevelType w:val="hybridMultilevel"/>
    <w:tmpl w:val="4AF293C4"/>
    <w:lvl w:ilvl="0" w:tplc="EA80EF94">
      <w:start w:val="1"/>
      <w:numFmt w:val="bullet"/>
      <w:lvlText w:val=""/>
      <w:lvlJc w:val="left"/>
      <w:pPr>
        <w:ind w:left="720" w:hanging="360"/>
      </w:pPr>
      <w:rPr>
        <w:rFonts w:ascii="Symbol" w:hAnsi="Symbol" w:hint="default"/>
      </w:rPr>
    </w:lvl>
    <w:lvl w:ilvl="1" w:tplc="C07852E6">
      <w:start w:val="1"/>
      <w:numFmt w:val="decimal"/>
      <w:lvlText w:val="%2."/>
      <w:lvlJc w:val="left"/>
      <w:pPr>
        <w:tabs>
          <w:tab w:val="num" w:pos="1440"/>
        </w:tabs>
        <w:ind w:left="1440" w:hanging="360"/>
      </w:pPr>
    </w:lvl>
    <w:lvl w:ilvl="2" w:tplc="C22469D6">
      <w:start w:val="1"/>
      <w:numFmt w:val="decimal"/>
      <w:lvlText w:val="%3."/>
      <w:lvlJc w:val="left"/>
      <w:pPr>
        <w:tabs>
          <w:tab w:val="num" w:pos="2160"/>
        </w:tabs>
        <w:ind w:left="2160" w:hanging="360"/>
      </w:pPr>
    </w:lvl>
    <w:lvl w:ilvl="3" w:tplc="A216BE46">
      <w:start w:val="1"/>
      <w:numFmt w:val="decimal"/>
      <w:lvlText w:val="%4."/>
      <w:lvlJc w:val="left"/>
      <w:pPr>
        <w:tabs>
          <w:tab w:val="num" w:pos="2880"/>
        </w:tabs>
        <w:ind w:left="2880" w:hanging="360"/>
      </w:pPr>
    </w:lvl>
    <w:lvl w:ilvl="4" w:tplc="0F8A84DE">
      <w:start w:val="1"/>
      <w:numFmt w:val="decimal"/>
      <w:lvlText w:val="%5."/>
      <w:lvlJc w:val="left"/>
      <w:pPr>
        <w:tabs>
          <w:tab w:val="num" w:pos="3600"/>
        </w:tabs>
        <w:ind w:left="3600" w:hanging="360"/>
      </w:pPr>
    </w:lvl>
    <w:lvl w:ilvl="5" w:tplc="CD04A4E2">
      <w:start w:val="1"/>
      <w:numFmt w:val="decimal"/>
      <w:lvlText w:val="%6."/>
      <w:lvlJc w:val="left"/>
      <w:pPr>
        <w:tabs>
          <w:tab w:val="num" w:pos="4320"/>
        </w:tabs>
        <w:ind w:left="4320" w:hanging="360"/>
      </w:pPr>
    </w:lvl>
    <w:lvl w:ilvl="6" w:tplc="1F38E6DE">
      <w:start w:val="1"/>
      <w:numFmt w:val="decimal"/>
      <w:lvlText w:val="%7."/>
      <w:lvlJc w:val="left"/>
      <w:pPr>
        <w:tabs>
          <w:tab w:val="num" w:pos="5040"/>
        </w:tabs>
        <w:ind w:left="5040" w:hanging="360"/>
      </w:pPr>
    </w:lvl>
    <w:lvl w:ilvl="7" w:tplc="65D29688">
      <w:start w:val="1"/>
      <w:numFmt w:val="decimal"/>
      <w:lvlText w:val="%8."/>
      <w:lvlJc w:val="left"/>
      <w:pPr>
        <w:tabs>
          <w:tab w:val="num" w:pos="5760"/>
        </w:tabs>
        <w:ind w:left="5760" w:hanging="360"/>
      </w:pPr>
    </w:lvl>
    <w:lvl w:ilvl="8" w:tplc="5F8C1D3C">
      <w:start w:val="1"/>
      <w:numFmt w:val="decimal"/>
      <w:lvlText w:val="%9."/>
      <w:lvlJc w:val="left"/>
      <w:pPr>
        <w:tabs>
          <w:tab w:val="num" w:pos="6480"/>
        </w:tabs>
        <w:ind w:left="6480" w:hanging="360"/>
      </w:pPr>
    </w:lvl>
  </w:abstractNum>
  <w:abstractNum w:abstractNumId="5">
    <w:nsid w:val="766D15C7"/>
    <w:multiLevelType w:val="hybridMultilevel"/>
    <w:tmpl w:val="2A7E8C0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E263C"/>
    <w:rsid w:val="000C7BD5"/>
    <w:rsid w:val="00251044"/>
    <w:rsid w:val="002A2260"/>
    <w:rsid w:val="002D2385"/>
    <w:rsid w:val="00443381"/>
    <w:rsid w:val="00474F42"/>
    <w:rsid w:val="00521305"/>
    <w:rsid w:val="00527BF0"/>
    <w:rsid w:val="00617C9C"/>
    <w:rsid w:val="00697E13"/>
    <w:rsid w:val="006A1150"/>
    <w:rsid w:val="00826F99"/>
    <w:rsid w:val="00896A8B"/>
    <w:rsid w:val="008C1476"/>
    <w:rsid w:val="008E4C0A"/>
    <w:rsid w:val="008F7C23"/>
    <w:rsid w:val="0096277E"/>
    <w:rsid w:val="009A303F"/>
    <w:rsid w:val="009E263C"/>
    <w:rsid w:val="00A21647"/>
    <w:rsid w:val="00AA716B"/>
    <w:rsid w:val="00AB1DBF"/>
    <w:rsid w:val="00B356B2"/>
    <w:rsid w:val="00B61B9E"/>
    <w:rsid w:val="00BB0BCD"/>
    <w:rsid w:val="00D90CD2"/>
    <w:rsid w:val="00DB497D"/>
    <w:rsid w:val="00DC5BB4"/>
    <w:rsid w:val="00FB3FB8"/>
    <w:rsid w:val="00FF2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673604">
      <w:bodyDiv w:val="1"/>
      <w:marLeft w:val="0"/>
      <w:marRight w:val="0"/>
      <w:marTop w:val="0"/>
      <w:marBottom w:val="0"/>
      <w:divBdr>
        <w:top w:val="none" w:sz="0" w:space="0" w:color="auto"/>
        <w:left w:val="none" w:sz="0" w:space="0" w:color="auto"/>
        <w:bottom w:val="none" w:sz="0" w:space="0" w:color="auto"/>
        <w:right w:val="none" w:sz="0" w:space="0" w:color="auto"/>
      </w:divBdr>
    </w:div>
    <w:div w:id="111136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7713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SANTUCCIONE Lucia (DEVCO)</dc:creator>
  <cp:lastModifiedBy>GHIOSHVILI Khatuna (EEAS-TBILISI)</cp:lastModifiedBy>
  <cp:revision>3</cp:revision>
  <cp:lastPrinted>2018-09-12T10:50:00Z</cp:lastPrinted>
  <dcterms:created xsi:type="dcterms:W3CDTF">2018-09-12T10:04:00Z</dcterms:created>
  <dcterms:modified xsi:type="dcterms:W3CDTF">2018-09-12T10:50:00Z</dcterms:modified>
</cp:coreProperties>
</file>